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9F129" w14:textId="77777777" w:rsidR="00532E5E" w:rsidRPr="00532E5E" w:rsidRDefault="00532E5E" w:rsidP="00532E5E">
      <w:pPr>
        <w:spacing w:before="200" w:after="40" w:line="270"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B7974E"/>
          <w:kern w:val="0"/>
          <w:sz w:val="18"/>
          <w:szCs w:val="22"/>
          <w:lang w:eastAsia="en-US"/>
          <w14:ligatures w14:val="none"/>
        </w:rPr>
        <w:t>PERSONAL DATA PROTECTION</w:t>
      </w:r>
    </w:p>
    <w:p w14:paraId="35259001" w14:textId="77777777" w:rsidR="00532E5E" w:rsidRPr="00532E5E" w:rsidRDefault="00532E5E" w:rsidP="00532E5E">
      <w:pPr>
        <w:keepNext/>
        <w:spacing w:after="80" w:line="270"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123143"/>
          <w:kern w:val="0"/>
          <w:sz w:val="56"/>
          <w:szCs w:val="22"/>
          <w:lang w:eastAsia="en-US"/>
          <w14:ligatures w14:val="none"/>
        </w:rPr>
        <w:t>Privacy Notice</w:t>
      </w:r>
    </w:p>
    <w:p w14:paraId="7D125598" w14:textId="4A0412C7" w:rsidR="00532E5E" w:rsidRPr="00532E5E" w:rsidRDefault="00532E5E" w:rsidP="00532E5E">
      <w:pPr>
        <w:spacing w:after="320" w:line="270"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0A3D2B"/>
          <w:kern w:val="0"/>
          <w:sz w:val="30"/>
          <w:szCs w:val="22"/>
          <w:lang w:eastAsia="en-US"/>
          <w14:ligatures w14:val="none"/>
        </w:rPr>
        <w:t xml:space="preserve">inVista </w:t>
      </w:r>
      <w:proofErr w:type="gramStart"/>
      <w:r>
        <w:rPr>
          <w:rFonts w:ascii="Arial" w:eastAsia="Arial" w:hAnsi="Arial" w:cs="Times New Roman"/>
          <w:b/>
          <w:color w:val="0A3D2B"/>
          <w:kern w:val="0"/>
          <w:sz w:val="30"/>
          <w:szCs w:val="22"/>
          <w:lang w:eastAsia="en-US"/>
          <w14:ligatures w14:val="none"/>
        </w:rPr>
        <w:t>Group</w:t>
      </w:r>
      <w:r>
        <w:rPr>
          <w:rFonts w:ascii="Arial" w:eastAsia="Arial" w:hAnsi="Arial" w:cs="Times New Roman"/>
          <w:color w:val="6B7280"/>
          <w:kern w:val="0"/>
          <w:sz w:val="20"/>
          <w:szCs w:val="22"/>
          <w:lang w:eastAsia="en-US"/>
          <w14:ligatures w14:val="none"/>
        </w:rPr>
        <w:t xml:space="preserve">  |</w:t>
      </w:r>
      <w:proofErr w:type="gramEnd"/>
      <w:r>
        <w:rPr>
          <w:rFonts w:ascii="Arial" w:eastAsia="Arial" w:hAnsi="Arial" w:cs="Times New Roman"/>
          <w:color w:val="6B7280"/>
          <w:kern w:val="0"/>
          <w:sz w:val="20"/>
          <w:szCs w:val="22"/>
          <w:lang w:eastAsia="en-US"/>
          <w14:ligatures w14:val="none"/>
        </w:rPr>
        <w:t xml:space="preserve">  Version 1.0 - </w:t>
      </w:r>
      <w:r w:rsidR="00B34ABB">
        <w:rPr>
          <w:rFonts w:ascii="Arial" w:eastAsia="Arial" w:hAnsi="Arial" w:cs="Times New Roman"/>
          <w:color w:val="6B7280"/>
          <w:kern w:val="0"/>
          <w:sz w:val="20"/>
          <w:szCs w:val="22"/>
          <w:lang w:eastAsia="en-US"/>
          <w14:ligatures w14:val="none"/>
        </w:rPr>
        <w:t>October</w:t>
      </w:r>
      <w:r>
        <w:rPr>
          <w:rFonts w:ascii="Arial" w:eastAsia="Arial" w:hAnsi="Arial" w:cs="Times New Roman"/>
          <w:color w:val="6B7280"/>
          <w:kern w:val="0"/>
          <w:sz w:val="20"/>
          <w:szCs w:val="22"/>
          <w:lang w:eastAsia="en-US"/>
          <w14:ligatures w14:val="none"/>
        </w:rPr>
        <w:t xml:space="preserve"> 2026</w:t>
      </w:r>
    </w:p>
    <w:tbl>
      <w:tblPr>
        <w:tblW w:w="9518" w:type="dxa"/>
        <w:tblInd w:w="120" w:type="dxa"/>
        <w:tblBorders>
          <w:top w:val="single" w:sz="0" w:space="0" w:color="EAF2ED"/>
          <w:left w:val="single" w:sz="0" w:space="0" w:color="EAF2ED"/>
          <w:bottom w:val="single" w:sz="0" w:space="0" w:color="EAF2ED"/>
          <w:right w:val="single" w:sz="0" w:space="0" w:color="EAF2ED"/>
          <w:insideH w:val="single" w:sz="0" w:space="0" w:color="EAF2ED"/>
          <w:insideV w:val="single" w:sz="0" w:space="0" w:color="EAF2ED"/>
        </w:tblBorders>
        <w:tblLayout w:type="fixed"/>
        <w:tblLook w:val="04A0" w:firstRow="1" w:lastRow="0" w:firstColumn="1" w:lastColumn="0" w:noHBand="0" w:noVBand="1"/>
      </w:tblPr>
      <w:tblGrid>
        <w:gridCol w:w="9518"/>
      </w:tblGrid>
      <w:tr w:rsidR="00532E5E" w:rsidRPr="00532E5E" w14:paraId="0E83FB38" w14:textId="77777777" w:rsidTr="00303060">
        <w:trPr>
          <w:cantSplit/>
        </w:trPr>
        <w:tc>
          <w:tcPr>
            <w:tcW w:w="9518" w:type="dxa"/>
            <w:shd w:val="clear" w:color="auto" w:fill="EAF2ED"/>
            <w:tcMar>
              <w:top w:w="150" w:type="dxa"/>
              <w:left w:w="180" w:type="dxa"/>
              <w:bottom w:w="150" w:type="dxa"/>
              <w:right w:w="180" w:type="dxa"/>
            </w:tcMar>
            <w:vAlign w:val="center"/>
          </w:tcPr>
          <w:p w14:paraId="436AA340" w14:textId="77777777" w:rsidR="00532E5E" w:rsidRPr="00532E5E" w:rsidRDefault="00532E5E" w:rsidP="00B1217C">
            <w:pPr>
              <w:spacing w:after="80" w:line="270" w:lineRule="auto"/>
              <w:jc w:val="both"/>
              <w:rPr>
                <w:rFonts w:ascii="Arial" w:eastAsia="MS Mincho" w:hAnsi="Arial" w:cs="Times New Roman"/>
                <w:color w:val="1F2933"/>
                <w:kern w:val="0"/>
                <w:sz w:val="21"/>
                <w:szCs w:val="22"/>
                <w:lang w:eastAsia="en-US"/>
                <w14:ligatures w14:val="none"/>
              </w:rPr>
            </w:pPr>
            <w:r>
              <w:rPr>
                <w:rFonts w:ascii="Arial" w:eastAsia="Arial" w:hAnsi="Arial" w:cs="Times New Roman"/>
                <w:b/>
                <w:color w:val="0A3D2B"/>
                <w:kern w:val="0"/>
                <w:sz w:val="22"/>
                <w:szCs w:val="22"/>
                <w:lang w:eastAsia="en-US"/>
                <w14:ligatures w14:val="none"/>
              </w:rPr>
              <w:t>Transparency regarding the use of personal data</w:t>
            </w:r>
          </w:p>
          <w:p w14:paraId="6D05B1D4" w14:textId="77777777" w:rsidR="00532E5E" w:rsidRPr="00532E5E" w:rsidRDefault="00532E5E" w:rsidP="00B1217C">
            <w:pPr>
              <w:spacing w:after="0" w:line="264" w:lineRule="auto"/>
              <w:jc w:val="both"/>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9"/>
                <w:szCs w:val="22"/>
                <w:lang w:eastAsia="en-US"/>
                <w14:ligatures w14:val="none"/>
              </w:rPr>
              <w:t xml:space="preserve">This Notice explains how the companies that make up the inVista Group collect, use, store, share and protect personal data </w:t>
            </w:r>
            <w:proofErr w:type="gramStart"/>
            <w:r>
              <w:rPr>
                <w:rFonts w:ascii="Arial" w:eastAsia="Arial" w:hAnsi="Arial" w:cs="Times New Roman"/>
                <w:color w:val="1F2933"/>
                <w:kern w:val="0"/>
                <w:sz w:val="19"/>
                <w:szCs w:val="22"/>
                <w:lang w:eastAsia="en-US"/>
                <w14:ligatures w14:val="none"/>
              </w:rPr>
              <w:t>in the course of</w:t>
            </w:r>
            <w:proofErr w:type="gramEnd"/>
            <w:r>
              <w:rPr>
                <w:rFonts w:ascii="Arial" w:eastAsia="Arial" w:hAnsi="Arial" w:cs="Times New Roman"/>
                <w:color w:val="1F2933"/>
                <w:kern w:val="0"/>
                <w:sz w:val="19"/>
                <w:szCs w:val="22"/>
                <w:lang w:eastAsia="en-US"/>
                <w14:ligatures w14:val="none"/>
              </w:rPr>
              <w:t xml:space="preserve"> their activities. It applies to the various relationships maintained by the Group, both in Brazil and abroad, and should be read together with any specific notices, consent forms and the Cookie Policy.</w:t>
            </w:r>
          </w:p>
        </w:tc>
      </w:tr>
    </w:tbl>
    <w:p w14:paraId="784947B7" w14:textId="77777777" w:rsidR="00532E5E" w:rsidRPr="00532E5E" w:rsidRDefault="00532E5E" w:rsidP="00532E5E">
      <w:pPr>
        <w:spacing w:after="0" w:line="270" w:lineRule="auto"/>
        <w:rPr>
          <w:rFonts w:ascii="Arial" w:eastAsia="MS Mincho" w:hAnsi="Arial" w:cs="Times New Roman"/>
          <w:color w:val="1F2933"/>
          <w:kern w:val="0"/>
          <w:sz w:val="21"/>
          <w:szCs w:val="22"/>
          <w:lang w:eastAsia="en-US"/>
          <w14:ligatures w14:val="none"/>
        </w:rPr>
      </w:pPr>
    </w:p>
    <w:p w14:paraId="2E513669" w14:textId="77777777" w:rsidR="00532E5E" w:rsidRPr="00532E5E" w:rsidRDefault="00532E5E" w:rsidP="00532E5E">
      <w:pPr>
        <w:keepNext/>
        <w:keepLines/>
        <w:spacing w:before="300" w:after="140" w:line="252" w:lineRule="auto"/>
        <w:outlineLvl w:val="0"/>
        <w:rPr>
          <w:rFonts w:ascii="Calibri" w:eastAsia="MS Gothic" w:hAnsi="Calibri" w:cs="Times New Roman"/>
          <w:b/>
          <w:bCs/>
          <w:color w:val="0A3D2B"/>
          <w:kern w:val="0"/>
          <w:sz w:val="30"/>
          <w:szCs w:val="28"/>
          <w:lang w:eastAsia="en-US"/>
          <w14:ligatures w14:val="none"/>
        </w:rPr>
      </w:pPr>
      <w:r>
        <w:rPr>
          <w:rFonts w:ascii="Calibri" w:eastAsia="MS Gothic" w:hAnsi="Calibri" w:cs="Times New Roman"/>
          <w:b/>
          <w:bCs/>
          <w:color w:val="0A3D2B"/>
          <w:kern w:val="0"/>
          <w:sz w:val="30"/>
          <w:szCs w:val="28"/>
          <w:lang w:eastAsia="en-US"/>
          <w14:ligatures w14:val="none"/>
        </w:rPr>
        <w:t>1. About this Notice</w:t>
      </w:r>
    </w:p>
    <w:p w14:paraId="7CA12871" w14:textId="77777777" w:rsidR="00532E5E" w:rsidRPr="00532E5E" w:rsidRDefault="00532E5E" w:rsidP="009962DB">
      <w:pPr>
        <w:spacing w:after="100" w:line="270" w:lineRule="auto"/>
        <w:jc w:val="both"/>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21"/>
          <w:szCs w:val="22"/>
          <w:lang w:eastAsia="en-US"/>
          <w14:ligatures w14:val="none"/>
        </w:rPr>
        <w:t>The inVista Group recognizes the importance of privacy and personal data protection and seeks to process such information in accordance with Law No. 13,709/2018 (Brazilian General Personal Data Protection Law - LGPD), the rules of the National Data Protection Agency - ANPD, and the other legal, regulatory and self-regulatory rules applicable to its activities.</w:t>
      </w:r>
    </w:p>
    <w:p w14:paraId="4D997022" w14:textId="77777777" w:rsidR="00532E5E" w:rsidRPr="00532E5E" w:rsidRDefault="00532E5E" w:rsidP="009962DB">
      <w:pPr>
        <w:spacing w:after="100" w:line="270" w:lineRule="auto"/>
        <w:jc w:val="both"/>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21"/>
          <w:szCs w:val="22"/>
          <w:lang w:eastAsia="en-US"/>
          <w14:ligatures w14:val="none"/>
        </w:rPr>
        <w:t xml:space="preserve">This Notice is general in nature. The nature of the data processed, the purposes, the legal bases, the recipients and the retention periods vary according to the relationship maintained with each data subject and the actual involvement of each Group company </w:t>
      </w:r>
      <w:proofErr w:type="gramStart"/>
      <w:r>
        <w:rPr>
          <w:rFonts w:ascii="Arial" w:eastAsia="Arial" w:hAnsi="Arial" w:cs="Times New Roman"/>
          <w:color w:val="1F2933"/>
          <w:kern w:val="0"/>
          <w:sz w:val="21"/>
          <w:szCs w:val="22"/>
          <w:lang w:eastAsia="en-US"/>
          <w14:ligatures w14:val="none"/>
        </w:rPr>
        <w:t>in a given</w:t>
      </w:r>
      <w:proofErr w:type="gramEnd"/>
      <w:r>
        <w:rPr>
          <w:rFonts w:ascii="Arial" w:eastAsia="Arial" w:hAnsi="Arial" w:cs="Times New Roman"/>
          <w:color w:val="1F2933"/>
          <w:kern w:val="0"/>
          <w:sz w:val="21"/>
          <w:szCs w:val="22"/>
          <w:lang w:eastAsia="en-US"/>
          <w14:ligatures w14:val="none"/>
        </w:rPr>
        <w:t xml:space="preserve"> activity. Only data that is adequate, relevant and necessary for each purpose should be processed.</w:t>
      </w:r>
    </w:p>
    <w:p w14:paraId="126FB693" w14:textId="77777777" w:rsidR="00532E5E" w:rsidRPr="00532E5E" w:rsidRDefault="00532E5E" w:rsidP="00532E5E">
      <w:pPr>
        <w:keepNext/>
        <w:keepLines/>
        <w:spacing w:before="300" w:after="140" w:line="252" w:lineRule="auto"/>
        <w:outlineLvl w:val="0"/>
        <w:rPr>
          <w:rFonts w:ascii="Calibri" w:eastAsia="MS Gothic" w:hAnsi="Calibri" w:cs="Times New Roman"/>
          <w:b/>
          <w:bCs/>
          <w:color w:val="0A3D2B"/>
          <w:kern w:val="0"/>
          <w:sz w:val="30"/>
          <w:szCs w:val="28"/>
          <w:lang w:eastAsia="en-US"/>
          <w14:ligatures w14:val="none"/>
        </w:rPr>
      </w:pPr>
      <w:r>
        <w:rPr>
          <w:rFonts w:ascii="Calibri" w:eastAsia="MS Gothic" w:hAnsi="Calibri" w:cs="Times New Roman"/>
          <w:b/>
          <w:bCs/>
          <w:color w:val="0A3D2B"/>
          <w:kern w:val="0"/>
          <w:sz w:val="30"/>
          <w:szCs w:val="28"/>
          <w:lang w:eastAsia="en-US"/>
          <w14:ligatures w14:val="none"/>
        </w:rPr>
        <w:t>2. Who makes up the inVista Group</w:t>
      </w:r>
    </w:p>
    <w:p w14:paraId="62BBE04B" w14:textId="77777777" w:rsidR="00532E5E" w:rsidRPr="00532E5E" w:rsidRDefault="00532E5E" w:rsidP="009962DB">
      <w:pPr>
        <w:spacing w:after="100" w:line="270" w:lineRule="auto"/>
        <w:jc w:val="both"/>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21"/>
          <w:szCs w:val="22"/>
          <w:lang w:eastAsia="en-US"/>
          <w14:ligatures w14:val="none"/>
        </w:rPr>
        <w:t xml:space="preserve">For the purposes of this Notice, the “inVista Group” comprises the Brazilian and foreign companies listed below. Each company will be the controller of the processing operations whose purposes and essential means it determines. </w:t>
      </w:r>
      <w:proofErr w:type="gramStart"/>
      <w:r>
        <w:rPr>
          <w:rFonts w:ascii="Arial" w:eastAsia="Arial" w:hAnsi="Arial" w:cs="Times New Roman"/>
          <w:color w:val="1F2933"/>
          <w:kern w:val="0"/>
          <w:sz w:val="21"/>
          <w:szCs w:val="22"/>
          <w:lang w:eastAsia="en-US"/>
          <w14:ligatures w14:val="none"/>
        </w:rPr>
        <w:t>As the case may be, two or more</w:t>
      </w:r>
      <w:proofErr w:type="gramEnd"/>
      <w:r>
        <w:rPr>
          <w:rFonts w:ascii="Arial" w:eastAsia="Arial" w:hAnsi="Arial" w:cs="Times New Roman"/>
          <w:color w:val="1F2933"/>
          <w:kern w:val="0"/>
          <w:sz w:val="21"/>
          <w:szCs w:val="22"/>
          <w:lang w:eastAsia="en-US"/>
          <w14:ligatures w14:val="none"/>
        </w:rPr>
        <w:t xml:space="preserve"> companies may act as joint or independent controllers, or one company may process data on behalf of another.</w:t>
      </w:r>
    </w:p>
    <w:tbl>
      <w:tblPr>
        <w:tblW w:w="9518" w:type="dxa"/>
        <w:tblInd w:w="120" w:type="dxa"/>
        <w:tblBorders>
          <w:top w:val="single" w:sz="6" w:space="0" w:color="D6DADD"/>
          <w:left w:val="single" w:sz="6" w:space="0" w:color="D6DADD"/>
          <w:bottom w:val="single" w:sz="6" w:space="0" w:color="D6DADD"/>
          <w:right w:val="single" w:sz="6" w:space="0" w:color="D6DADD"/>
          <w:insideH w:val="single" w:sz="6" w:space="0" w:color="D6DADD"/>
          <w:insideV w:val="single" w:sz="6" w:space="0" w:color="D6DADD"/>
        </w:tblBorders>
        <w:tblLayout w:type="fixed"/>
        <w:tblLook w:val="04A0" w:firstRow="1" w:lastRow="0" w:firstColumn="1" w:lastColumn="0" w:noHBand="0" w:noVBand="1"/>
      </w:tblPr>
      <w:tblGrid>
        <w:gridCol w:w="4050"/>
        <w:gridCol w:w="2300"/>
        <w:gridCol w:w="3168"/>
      </w:tblGrid>
      <w:tr w:rsidR="00532E5E" w:rsidRPr="00532E5E" w14:paraId="04C62EEC" w14:textId="77777777" w:rsidTr="00303060">
        <w:trPr>
          <w:cantSplit/>
          <w:tblHeader/>
        </w:trPr>
        <w:tc>
          <w:tcPr>
            <w:tcW w:w="4050" w:type="dxa"/>
            <w:shd w:val="clear" w:color="auto" w:fill="0A3D2B"/>
            <w:tcMar>
              <w:top w:w="90" w:type="dxa"/>
              <w:left w:w="120" w:type="dxa"/>
              <w:bottom w:w="90" w:type="dxa"/>
              <w:right w:w="120" w:type="dxa"/>
            </w:tcMar>
            <w:vAlign w:val="center"/>
          </w:tcPr>
          <w:p w14:paraId="5C98949B"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FFFFFF"/>
                <w:kern w:val="0"/>
                <w:sz w:val="18"/>
                <w:szCs w:val="22"/>
                <w:lang w:eastAsia="en-US"/>
                <w14:ligatures w14:val="none"/>
              </w:rPr>
              <w:t>Company</w:t>
            </w:r>
          </w:p>
        </w:tc>
        <w:tc>
          <w:tcPr>
            <w:tcW w:w="2300" w:type="dxa"/>
            <w:shd w:val="clear" w:color="auto" w:fill="0A3D2B"/>
            <w:tcMar>
              <w:top w:w="90" w:type="dxa"/>
              <w:left w:w="120" w:type="dxa"/>
              <w:bottom w:w="90" w:type="dxa"/>
              <w:right w:w="120" w:type="dxa"/>
            </w:tcMar>
            <w:vAlign w:val="center"/>
          </w:tcPr>
          <w:p w14:paraId="6489E5B5"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FFFFFF"/>
                <w:kern w:val="0"/>
                <w:sz w:val="18"/>
                <w:szCs w:val="22"/>
                <w:lang w:eastAsia="en-US"/>
                <w14:ligatures w14:val="none"/>
              </w:rPr>
              <w:t>Jurisdiction</w:t>
            </w:r>
          </w:p>
        </w:tc>
        <w:tc>
          <w:tcPr>
            <w:tcW w:w="3168" w:type="dxa"/>
            <w:shd w:val="clear" w:color="auto" w:fill="0A3D2B"/>
            <w:tcMar>
              <w:top w:w="90" w:type="dxa"/>
              <w:left w:w="120" w:type="dxa"/>
              <w:bottom w:w="90" w:type="dxa"/>
              <w:right w:w="120" w:type="dxa"/>
            </w:tcMar>
            <w:vAlign w:val="center"/>
          </w:tcPr>
          <w:p w14:paraId="193E4412"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FFFFFF"/>
                <w:kern w:val="0"/>
                <w:sz w:val="18"/>
                <w:szCs w:val="22"/>
                <w:lang w:eastAsia="en-US"/>
                <w14:ligatures w14:val="none"/>
              </w:rPr>
              <w:t>Identification</w:t>
            </w:r>
          </w:p>
        </w:tc>
      </w:tr>
      <w:tr w:rsidR="00532E5E" w:rsidRPr="00532E5E" w14:paraId="1651DFEB" w14:textId="77777777" w:rsidTr="00303060">
        <w:trPr>
          <w:cantSplit/>
        </w:trPr>
        <w:tc>
          <w:tcPr>
            <w:tcW w:w="4050" w:type="dxa"/>
            <w:tcMar>
              <w:top w:w="90" w:type="dxa"/>
              <w:left w:w="120" w:type="dxa"/>
              <w:bottom w:w="90" w:type="dxa"/>
              <w:right w:w="120" w:type="dxa"/>
            </w:tcMar>
            <w:vAlign w:val="center"/>
          </w:tcPr>
          <w:p w14:paraId="4202D90B"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inVista Real Estate Ltda.</w:t>
            </w:r>
          </w:p>
        </w:tc>
        <w:tc>
          <w:tcPr>
            <w:tcW w:w="2300" w:type="dxa"/>
            <w:tcMar>
              <w:top w:w="90" w:type="dxa"/>
              <w:left w:w="120" w:type="dxa"/>
              <w:bottom w:w="90" w:type="dxa"/>
              <w:right w:w="120" w:type="dxa"/>
            </w:tcMar>
            <w:vAlign w:val="center"/>
          </w:tcPr>
          <w:p w14:paraId="024D5583"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Brazil</w:t>
            </w:r>
          </w:p>
        </w:tc>
        <w:tc>
          <w:tcPr>
            <w:tcW w:w="3168" w:type="dxa"/>
            <w:tcMar>
              <w:top w:w="90" w:type="dxa"/>
              <w:left w:w="120" w:type="dxa"/>
              <w:bottom w:w="90" w:type="dxa"/>
              <w:right w:w="120" w:type="dxa"/>
            </w:tcMar>
            <w:vAlign w:val="center"/>
          </w:tcPr>
          <w:p w14:paraId="6BD6463F"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CNPJ 18.356.470/0001-58</w:t>
            </w:r>
          </w:p>
        </w:tc>
      </w:tr>
      <w:tr w:rsidR="00532E5E" w:rsidRPr="00532E5E" w14:paraId="1A6ED0A8" w14:textId="77777777" w:rsidTr="00303060">
        <w:trPr>
          <w:cantSplit/>
        </w:trPr>
        <w:tc>
          <w:tcPr>
            <w:tcW w:w="4050" w:type="dxa"/>
            <w:tcMar>
              <w:top w:w="90" w:type="dxa"/>
              <w:left w:w="120" w:type="dxa"/>
              <w:bottom w:w="90" w:type="dxa"/>
              <w:right w:w="120" w:type="dxa"/>
            </w:tcMar>
            <w:vAlign w:val="center"/>
          </w:tcPr>
          <w:p w14:paraId="5E07FC88"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inVista Consulting Ltda.</w:t>
            </w:r>
          </w:p>
        </w:tc>
        <w:tc>
          <w:tcPr>
            <w:tcW w:w="2300" w:type="dxa"/>
            <w:tcMar>
              <w:top w:w="90" w:type="dxa"/>
              <w:left w:w="120" w:type="dxa"/>
              <w:bottom w:w="90" w:type="dxa"/>
              <w:right w:w="120" w:type="dxa"/>
            </w:tcMar>
            <w:vAlign w:val="center"/>
          </w:tcPr>
          <w:p w14:paraId="736FD627"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Brazil</w:t>
            </w:r>
          </w:p>
        </w:tc>
        <w:tc>
          <w:tcPr>
            <w:tcW w:w="3168" w:type="dxa"/>
            <w:tcMar>
              <w:top w:w="90" w:type="dxa"/>
              <w:left w:w="120" w:type="dxa"/>
              <w:bottom w:w="90" w:type="dxa"/>
              <w:right w:w="120" w:type="dxa"/>
            </w:tcMar>
            <w:vAlign w:val="center"/>
          </w:tcPr>
          <w:p w14:paraId="247793D3"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CNPJ 52.898.902/0001-90</w:t>
            </w:r>
          </w:p>
        </w:tc>
      </w:tr>
      <w:tr w:rsidR="00532E5E" w:rsidRPr="00532E5E" w14:paraId="2F1DE381" w14:textId="77777777" w:rsidTr="00303060">
        <w:trPr>
          <w:cantSplit/>
        </w:trPr>
        <w:tc>
          <w:tcPr>
            <w:tcW w:w="4050" w:type="dxa"/>
            <w:tcMar>
              <w:top w:w="90" w:type="dxa"/>
              <w:left w:w="120" w:type="dxa"/>
              <w:bottom w:w="90" w:type="dxa"/>
              <w:right w:w="120" w:type="dxa"/>
            </w:tcMar>
            <w:vAlign w:val="center"/>
          </w:tcPr>
          <w:p w14:paraId="2847900E"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inVista Participações Ltda.</w:t>
            </w:r>
          </w:p>
        </w:tc>
        <w:tc>
          <w:tcPr>
            <w:tcW w:w="2300" w:type="dxa"/>
            <w:tcMar>
              <w:top w:w="90" w:type="dxa"/>
              <w:left w:w="120" w:type="dxa"/>
              <w:bottom w:w="90" w:type="dxa"/>
              <w:right w:w="120" w:type="dxa"/>
            </w:tcMar>
            <w:vAlign w:val="center"/>
          </w:tcPr>
          <w:p w14:paraId="5C6E2673"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Brazil</w:t>
            </w:r>
          </w:p>
        </w:tc>
        <w:tc>
          <w:tcPr>
            <w:tcW w:w="3168" w:type="dxa"/>
            <w:tcMar>
              <w:top w:w="90" w:type="dxa"/>
              <w:left w:w="120" w:type="dxa"/>
              <w:bottom w:w="90" w:type="dxa"/>
              <w:right w:w="120" w:type="dxa"/>
            </w:tcMar>
            <w:vAlign w:val="center"/>
          </w:tcPr>
          <w:p w14:paraId="08C600EB"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CNPJ 53.588.969/0001-91</w:t>
            </w:r>
          </w:p>
        </w:tc>
      </w:tr>
      <w:tr w:rsidR="00532E5E" w:rsidRPr="00532E5E" w14:paraId="374BE6B2" w14:textId="77777777" w:rsidTr="00303060">
        <w:trPr>
          <w:cantSplit/>
        </w:trPr>
        <w:tc>
          <w:tcPr>
            <w:tcW w:w="4050" w:type="dxa"/>
            <w:tcMar>
              <w:top w:w="90" w:type="dxa"/>
              <w:left w:w="120" w:type="dxa"/>
              <w:bottom w:w="90" w:type="dxa"/>
              <w:right w:w="120" w:type="dxa"/>
            </w:tcMar>
            <w:vAlign w:val="center"/>
          </w:tcPr>
          <w:p w14:paraId="28ADA52E"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John Galt Company</w:t>
            </w:r>
          </w:p>
        </w:tc>
        <w:tc>
          <w:tcPr>
            <w:tcW w:w="2300" w:type="dxa"/>
            <w:tcMar>
              <w:top w:w="90" w:type="dxa"/>
              <w:left w:w="120" w:type="dxa"/>
              <w:bottom w:w="90" w:type="dxa"/>
              <w:right w:w="120" w:type="dxa"/>
            </w:tcMar>
            <w:vAlign w:val="center"/>
          </w:tcPr>
          <w:p w14:paraId="28A69CF8"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Cayman Islands</w:t>
            </w:r>
          </w:p>
        </w:tc>
        <w:tc>
          <w:tcPr>
            <w:tcW w:w="3168" w:type="dxa"/>
            <w:tcMar>
              <w:top w:w="90" w:type="dxa"/>
              <w:left w:w="120" w:type="dxa"/>
              <w:bottom w:w="90" w:type="dxa"/>
              <w:right w:w="120" w:type="dxa"/>
            </w:tcMar>
            <w:vAlign w:val="center"/>
          </w:tcPr>
          <w:p w14:paraId="1AE0A5F8"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Reg. No. 406889; CNPJ 54.297.991/0001-45</w:t>
            </w:r>
          </w:p>
        </w:tc>
      </w:tr>
      <w:tr w:rsidR="00532E5E" w:rsidRPr="00532E5E" w14:paraId="66E67694" w14:textId="77777777" w:rsidTr="00303060">
        <w:trPr>
          <w:cantSplit/>
        </w:trPr>
        <w:tc>
          <w:tcPr>
            <w:tcW w:w="4050" w:type="dxa"/>
            <w:tcMar>
              <w:top w:w="90" w:type="dxa"/>
              <w:left w:w="120" w:type="dxa"/>
              <w:bottom w:w="90" w:type="dxa"/>
              <w:right w:w="120" w:type="dxa"/>
            </w:tcMar>
            <w:vAlign w:val="center"/>
          </w:tcPr>
          <w:p w14:paraId="75DE1F11"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inVista Real Estate Limited</w:t>
            </w:r>
          </w:p>
        </w:tc>
        <w:tc>
          <w:tcPr>
            <w:tcW w:w="2300" w:type="dxa"/>
            <w:tcMar>
              <w:top w:w="90" w:type="dxa"/>
              <w:left w:w="120" w:type="dxa"/>
              <w:bottom w:w="90" w:type="dxa"/>
              <w:right w:w="120" w:type="dxa"/>
            </w:tcMar>
            <w:vAlign w:val="center"/>
          </w:tcPr>
          <w:p w14:paraId="655AB84C"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British Virgin Islands</w:t>
            </w:r>
          </w:p>
        </w:tc>
        <w:tc>
          <w:tcPr>
            <w:tcW w:w="3168" w:type="dxa"/>
            <w:tcMar>
              <w:top w:w="90" w:type="dxa"/>
              <w:left w:w="120" w:type="dxa"/>
              <w:bottom w:w="90" w:type="dxa"/>
              <w:right w:w="120" w:type="dxa"/>
            </w:tcMar>
            <w:vAlign w:val="center"/>
          </w:tcPr>
          <w:p w14:paraId="645D35D1"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BVI Reg. No. 2122032</w:t>
            </w:r>
          </w:p>
        </w:tc>
      </w:tr>
      <w:tr w:rsidR="00532E5E" w:rsidRPr="00532E5E" w14:paraId="17042C0E" w14:textId="77777777" w:rsidTr="00303060">
        <w:trPr>
          <w:cantSplit/>
        </w:trPr>
        <w:tc>
          <w:tcPr>
            <w:tcW w:w="4050" w:type="dxa"/>
            <w:tcMar>
              <w:top w:w="90" w:type="dxa"/>
              <w:left w:w="120" w:type="dxa"/>
              <w:bottom w:w="90" w:type="dxa"/>
              <w:right w:w="120" w:type="dxa"/>
            </w:tcMar>
            <w:vAlign w:val="center"/>
          </w:tcPr>
          <w:p w14:paraId="325FFBEF"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John Player Special Capital LP</w:t>
            </w:r>
          </w:p>
        </w:tc>
        <w:tc>
          <w:tcPr>
            <w:tcW w:w="2300" w:type="dxa"/>
            <w:tcMar>
              <w:top w:w="90" w:type="dxa"/>
              <w:left w:w="120" w:type="dxa"/>
              <w:bottom w:w="90" w:type="dxa"/>
              <w:right w:w="120" w:type="dxa"/>
            </w:tcMar>
            <w:vAlign w:val="center"/>
          </w:tcPr>
          <w:p w14:paraId="2750D671"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New Zealand</w:t>
            </w:r>
          </w:p>
        </w:tc>
        <w:tc>
          <w:tcPr>
            <w:tcW w:w="3168" w:type="dxa"/>
            <w:tcMar>
              <w:top w:w="90" w:type="dxa"/>
              <w:left w:w="120" w:type="dxa"/>
              <w:bottom w:w="90" w:type="dxa"/>
              <w:right w:w="120" w:type="dxa"/>
            </w:tcMar>
            <w:vAlign w:val="center"/>
          </w:tcPr>
          <w:p w14:paraId="633F85FD"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Privately held company</w:t>
            </w:r>
          </w:p>
        </w:tc>
      </w:tr>
      <w:tr w:rsidR="00532E5E" w:rsidRPr="00532E5E" w14:paraId="14682335" w14:textId="77777777" w:rsidTr="00303060">
        <w:trPr>
          <w:cantSplit/>
        </w:trPr>
        <w:tc>
          <w:tcPr>
            <w:tcW w:w="4050" w:type="dxa"/>
            <w:tcMar>
              <w:top w:w="90" w:type="dxa"/>
              <w:left w:w="120" w:type="dxa"/>
              <w:bottom w:w="90" w:type="dxa"/>
              <w:right w:w="120" w:type="dxa"/>
            </w:tcMar>
            <w:vAlign w:val="center"/>
          </w:tcPr>
          <w:p w14:paraId="161AD334"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Lipsius Harmony LP</w:t>
            </w:r>
          </w:p>
        </w:tc>
        <w:tc>
          <w:tcPr>
            <w:tcW w:w="2300" w:type="dxa"/>
            <w:tcMar>
              <w:top w:w="90" w:type="dxa"/>
              <w:left w:w="120" w:type="dxa"/>
              <w:bottom w:w="90" w:type="dxa"/>
              <w:right w:w="120" w:type="dxa"/>
            </w:tcMar>
            <w:vAlign w:val="center"/>
          </w:tcPr>
          <w:p w14:paraId="1E253B9F"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New Zealand</w:t>
            </w:r>
          </w:p>
        </w:tc>
        <w:tc>
          <w:tcPr>
            <w:tcW w:w="3168" w:type="dxa"/>
            <w:tcMar>
              <w:top w:w="90" w:type="dxa"/>
              <w:left w:w="120" w:type="dxa"/>
              <w:bottom w:w="90" w:type="dxa"/>
              <w:right w:w="120" w:type="dxa"/>
            </w:tcMar>
            <w:vAlign w:val="center"/>
          </w:tcPr>
          <w:p w14:paraId="156D126A"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Privately held company</w:t>
            </w:r>
          </w:p>
        </w:tc>
      </w:tr>
    </w:tbl>
    <w:p w14:paraId="7A1B72A8" w14:textId="77777777" w:rsidR="00532E5E" w:rsidRPr="00532E5E" w:rsidRDefault="00532E5E" w:rsidP="00532E5E">
      <w:pPr>
        <w:spacing w:after="0" w:line="270" w:lineRule="auto"/>
        <w:rPr>
          <w:rFonts w:ascii="Arial" w:eastAsia="MS Mincho" w:hAnsi="Arial" w:cs="Times New Roman"/>
          <w:color w:val="1F2933"/>
          <w:kern w:val="0"/>
          <w:sz w:val="21"/>
          <w:szCs w:val="22"/>
          <w:lang w:eastAsia="en-US"/>
          <w14:ligatures w14:val="none"/>
        </w:rPr>
      </w:pPr>
    </w:p>
    <w:p w14:paraId="0A0A7F09" w14:textId="77777777" w:rsidR="00532E5E" w:rsidRPr="00532E5E" w:rsidRDefault="00532E5E" w:rsidP="009962DB">
      <w:pPr>
        <w:spacing w:after="100" w:line="270" w:lineRule="auto"/>
        <w:jc w:val="both"/>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21"/>
          <w:szCs w:val="22"/>
          <w:lang w:eastAsia="en-US"/>
          <w14:ligatures w14:val="none"/>
        </w:rPr>
        <w:t>The Brazilian companies share a common head office at Rua Gomes de Carvalho, 1507, Suite 101, Block A, Vila Olímpia, São Paulo/SP, ZIP Code 04547-005. Funds, classes, investee companies, special purpose vehicles, fiduciary administrators, distributors, custodians and other service providers may perform their own functions and, depending on the decisions they make, act as independent controllers with respect to their respective processing operations.</w:t>
      </w:r>
    </w:p>
    <w:p w14:paraId="4FB8343E" w14:textId="77777777" w:rsidR="00532E5E" w:rsidRPr="00532E5E" w:rsidRDefault="00532E5E" w:rsidP="00532E5E">
      <w:pPr>
        <w:keepNext/>
        <w:keepLines/>
        <w:spacing w:before="300" w:after="140" w:line="252" w:lineRule="auto"/>
        <w:outlineLvl w:val="0"/>
        <w:rPr>
          <w:rFonts w:ascii="Calibri" w:eastAsia="MS Gothic" w:hAnsi="Calibri" w:cs="Times New Roman"/>
          <w:b/>
          <w:bCs/>
          <w:color w:val="0A3D2B"/>
          <w:kern w:val="0"/>
          <w:sz w:val="30"/>
          <w:szCs w:val="28"/>
          <w:lang w:eastAsia="en-US"/>
          <w14:ligatures w14:val="none"/>
        </w:rPr>
      </w:pPr>
      <w:r>
        <w:rPr>
          <w:rFonts w:ascii="Calibri" w:eastAsia="MS Gothic" w:hAnsi="Calibri" w:cs="Times New Roman"/>
          <w:b/>
          <w:bCs/>
          <w:color w:val="0A3D2B"/>
          <w:kern w:val="0"/>
          <w:sz w:val="30"/>
          <w:szCs w:val="28"/>
          <w:lang w:eastAsia="en-US"/>
          <w14:ligatures w14:val="none"/>
        </w:rPr>
        <w:lastRenderedPageBreak/>
        <w:t>3. To whom this Notice applies</w:t>
      </w:r>
    </w:p>
    <w:p w14:paraId="68B8FC4C" w14:textId="77777777" w:rsidR="00532E5E" w:rsidRDefault="00532E5E" w:rsidP="00532E5E">
      <w:pPr>
        <w:spacing w:after="100" w:line="270" w:lineRule="auto"/>
        <w:rPr>
          <w:rFonts w:ascii="Arial" w:eastAsia="Arial" w:hAnsi="Arial" w:cs="Times New Roman"/>
          <w:color w:val="1F2933"/>
          <w:kern w:val="0"/>
          <w:sz w:val="21"/>
          <w:szCs w:val="22"/>
          <w:lang w:eastAsia="en-US"/>
          <w14:ligatures w14:val="none"/>
        </w:rPr>
      </w:pPr>
      <w:r>
        <w:rPr>
          <w:rFonts w:ascii="Arial" w:eastAsia="Arial" w:hAnsi="Arial" w:cs="Times New Roman"/>
          <w:color w:val="1F2933"/>
          <w:kern w:val="0"/>
          <w:sz w:val="21"/>
          <w:szCs w:val="22"/>
          <w:lang w:eastAsia="en-US"/>
          <w14:ligatures w14:val="none"/>
        </w:rPr>
        <w:t>Depending on the context, this Notice may apply to the personal data of:</w:t>
      </w:r>
    </w:p>
    <w:p w14:paraId="553361A4" w14:textId="77777777" w:rsidR="00C7329D" w:rsidRPr="00532E5E" w:rsidRDefault="00C7329D" w:rsidP="00532E5E">
      <w:pPr>
        <w:spacing w:after="100" w:line="270" w:lineRule="auto"/>
        <w:rPr>
          <w:rFonts w:ascii="Arial" w:eastAsia="MS Mincho" w:hAnsi="Arial" w:cs="Times New Roman"/>
          <w:color w:val="1F2933"/>
          <w:kern w:val="0"/>
          <w:sz w:val="21"/>
          <w:szCs w:val="22"/>
          <w:lang w:eastAsia="en-US"/>
          <w14:ligatures w14:val="none"/>
        </w:rPr>
      </w:pPr>
    </w:p>
    <w:p w14:paraId="1BB3DE48" w14:textId="4E1C3E6F"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website visitors, who submit forms, contacts, leads and mailing list members;</w:t>
      </w:r>
    </w:p>
    <w:p w14:paraId="5E632E7F"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clients, prospective clients, investors, prospective investors, quotaholders when their data reaches the Group, representatives, attorneys-in-fact and ultimate beneficial owners;</w:t>
      </w:r>
    </w:p>
    <w:p w14:paraId="1DFB9CC6"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partners, officers, employees, job applicants, dependents and former employees;</w:t>
      </w:r>
    </w:p>
    <w:p w14:paraId="58BA1B37"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service providers, suppliers, business partners, consultants and representatives of legal entities;</w:t>
      </w:r>
    </w:p>
    <w:p w14:paraId="76B2EB2A"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owners, possessors, buyers, sellers, landlords, tenants, occupants, guarantors, brokers and other participants in real estate transactions;</w:t>
      </w:r>
    </w:p>
    <w:p w14:paraId="48F49076"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representatives of fiduciary administrators, distributors, bookkeeping agents, custodians, banks, auditors, advisors, counterparties and other participants in funds, vehicles, offerings and investments; and</w:t>
      </w:r>
    </w:p>
    <w:p w14:paraId="6956CF6A" w14:textId="6656092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 xml:space="preserve">whistleblowers, </w:t>
      </w:r>
      <w:r w:rsidR="00C7329D">
        <w:rPr>
          <w:rFonts w:ascii="Arial" w:eastAsia="Arial" w:hAnsi="Arial" w:cs="Times New Roman"/>
          <w:color w:val="1F2933"/>
          <w:kern w:val="0"/>
          <w:sz w:val="21"/>
          <w:szCs w:val="21"/>
          <w:lang w:eastAsia="en-US"/>
          <w14:ligatures w14:val="none"/>
        </w:rPr>
        <w:t>who are</w:t>
      </w:r>
      <w:r>
        <w:rPr>
          <w:rFonts w:ascii="Arial" w:eastAsia="Arial" w:hAnsi="Arial" w:cs="Times New Roman"/>
          <w:color w:val="1F2933"/>
          <w:kern w:val="0"/>
          <w:sz w:val="21"/>
          <w:szCs w:val="21"/>
          <w:lang w:eastAsia="en-US"/>
          <w14:ligatures w14:val="none"/>
        </w:rPr>
        <w:t xml:space="preserve"> involved in internal investigations, institutional contacts and other data subjects related to the activities of the inVista Group.</w:t>
      </w:r>
    </w:p>
    <w:p w14:paraId="425FF976" w14:textId="77777777" w:rsidR="00532E5E" w:rsidRPr="00532E5E" w:rsidRDefault="00532E5E" w:rsidP="00532E5E">
      <w:pPr>
        <w:keepNext/>
        <w:keepLines/>
        <w:spacing w:before="300" w:after="140" w:line="252" w:lineRule="auto"/>
        <w:outlineLvl w:val="0"/>
        <w:rPr>
          <w:rFonts w:ascii="Calibri" w:eastAsia="MS Gothic" w:hAnsi="Calibri" w:cs="Times New Roman"/>
          <w:b/>
          <w:bCs/>
          <w:color w:val="0A3D2B"/>
          <w:kern w:val="0"/>
          <w:sz w:val="30"/>
          <w:szCs w:val="28"/>
          <w:lang w:eastAsia="en-US"/>
          <w14:ligatures w14:val="none"/>
        </w:rPr>
      </w:pPr>
      <w:r>
        <w:rPr>
          <w:rFonts w:ascii="Calibri" w:eastAsia="MS Gothic" w:hAnsi="Calibri" w:cs="Times New Roman"/>
          <w:b/>
          <w:bCs/>
          <w:color w:val="0A3D2B"/>
          <w:kern w:val="0"/>
          <w:sz w:val="30"/>
          <w:szCs w:val="28"/>
          <w:lang w:eastAsia="en-US"/>
          <w14:ligatures w14:val="none"/>
        </w:rPr>
        <w:t>4. What personal data we may process</w:t>
      </w:r>
    </w:p>
    <w:p w14:paraId="76F2098B" w14:textId="77777777" w:rsidR="00532E5E" w:rsidRPr="00532E5E" w:rsidRDefault="00532E5E" w:rsidP="00532E5E">
      <w:pPr>
        <w:spacing w:after="100" w:line="270"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21"/>
          <w:szCs w:val="22"/>
          <w:lang w:eastAsia="en-US"/>
          <w14:ligatures w14:val="none"/>
        </w:rPr>
        <w:t>The data processed depends on the relationship and the applicable purpose and may include the following categories:</w:t>
      </w:r>
    </w:p>
    <w:tbl>
      <w:tblPr>
        <w:tblW w:w="9518" w:type="dxa"/>
        <w:tblInd w:w="120" w:type="dxa"/>
        <w:tblBorders>
          <w:top w:val="single" w:sz="6" w:space="0" w:color="D6DADD"/>
          <w:left w:val="single" w:sz="6" w:space="0" w:color="D6DADD"/>
          <w:bottom w:val="single" w:sz="6" w:space="0" w:color="D6DADD"/>
          <w:right w:val="single" w:sz="6" w:space="0" w:color="D6DADD"/>
          <w:insideH w:val="single" w:sz="6" w:space="0" w:color="D6DADD"/>
          <w:insideV w:val="single" w:sz="6" w:space="0" w:color="D6DADD"/>
        </w:tblBorders>
        <w:tblLayout w:type="fixed"/>
        <w:tblLook w:val="04A0" w:firstRow="1" w:lastRow="0" w:firstColumn="1" w:lastColumn="0" w:noHBand="0" w:noVBand="1"/>
      </w:tblPr>
      <w:tblGrid>
        <w:gridCol w:w="2800"/>
        <w:gridCol w:w="6718"/>
      </w:tblGrid>
      <w:tr w:rsidR="00532E5E" w:rsidRPr="00532E5E" w14:paraId="5865182C" w14:textId="77777777" w:rsidTr="00303060">
        <w:trPr>
          <w:cantSplit/>
          <w:tblHeader/>
        </w:trPr>
        <w:tc>
          <w:tcPr>
            <w:tcW w:w="2800" w:type="dxa"/>
            <w:shd w:val="clear" w:color="auto" w:fill="123143"/>
            <w:tcMar>
              <w:top w:w="90" w:type="dxa"/>
              <w:left w:w="120" w:type="dxa"/>
              <w:bottom w:w="90" w:type="dxa"/>
              <w:right w:w="120" w:type="dxa"/>
            </w:tcMar>
            <w:vAlign w:val="center"/>
          </w:tcPr>
          <w:p w14:paraId="3E6505FE"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FFFFFF"/>
                <w:kern w:val="0"/>
                <w:sz w:val="18"/>
                <w:szCs w:val="22"/>
                <w:lang w:eastAsia="en-US"/>
                <w14:ligatures w14:val="none"/>
              </w:rPr>
              <w:t>Category</w:t>
            </w:r>
          </w:p>
        </w:tc>
        <w:tc>
          <w:tcPr>
            <w:tcW w:w="6718" w:type="dxa"/>
            <w:shd w:val="clear" w:color="auto" w:fill="123143"/>
            <w:tcMar>
              <w:top w:w="90" w:type="dxa"/>
              <w:left w:w="120" w:type="dxa"/>
              <w:bottom w:w="90" w:type="dxa"/>
              <w:right w:w="120" w:type="dxa"/>
            </w:tcMar>
            <w:vAlign w:val="center"/>
          </w:tcPr>
          <w:p w14:paraId="44A3BBB6"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FFFFFF"/>
                <w:kern w:val="0"/>
                <w:sz w:val="18"/>
                <w:szCs w:val="22"/>
                <w:lang w:eastAsia="en-US"/>
                <w14:ligatures w14:val="none"/>
              </w:rPr>
              <w:t>Examples</w:t>
            </w:r>
          </w:p>
        </w:tc>
      </w:tr>
      <w:tr w:rsidR="00532E5E" w:rsidRPr="00532E5E" w14:paraId="696F7753" w14:textId="77777777" w:rsidTr="00303060">
        <w:trPr>
          <w:cantSplit/>
        </w:trPr>
        <w:tc>
          <w:tcPr>
            <w:tcW w:w="2800" w:type="dxa"/>
            <w:tcMar>
              <w:top w:w="90" w:type="dxa"/>
              <w:left w:w="120" w:type="dxa"/>
              <w:bottom w:w="90" w:type="dxa"/>
              <w:right w:w="120" w:type="dxa"/>
            </w:tcMar>
            <w:vAlign w:val="center"/>
          </w:tcPr>
          <w:p w14:paraId="395D2EC5"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0A3D2B"/>
                <w:kern w:val="0"/>
                <w:sz w:val="18"/>
                <w:szCs w:val="22"/>
                <w:lang w:eastAsia="en-US"/>
                <w14:ligatures w14:val="none"/>
              </w:rPr>
              <w:t>Identification and personal particulars</w:t>
            </w:r>
          </w:p>
        </w:tc>
        <w:tc>
          <w:tcPr>
            <w:tcW w:w="6718" w:type="dxa"/>
            <w:tcMar>
              <w:top w:w="90" w:type="dxa"/>
              <w:left w:w="120" w:type="dxa"/>
              <w:bottom w:w="90" w:type="dxa"/>
              <w:right w:w="120" w:type="dxa"/>
            </w:tcMar>
            <w:vAlign w:val="center"/>
          </w:tcPr>
          <w:p w14:paraId="46D80CCA"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 xml:space="preserve">Name, social name, date and place of birth, nationality, marital status, profession, </w:t>
            </w:r>
            <w:proofErr w:type="gramStart"/>
            <w:r>
              <w:rPr>
                <w:rFonts w:ascii="Arial" w:eastAsia="Arial" w:hAnsi="Arial" w:cs="Times New Roman"/>
                <w:color w:val="1F2933"/>
                <w:kern w:val="0"/>
                <w:sz w:val="18"/>
                <w:szCs w:val="22"/>
                <w:lang w:eastAsia="en-US"/>
                <w14:ligatures w14:val="none"/>
              </w:rPr>
              <w:t>gender</w:t>
            </w:r>
            <w:proofErr w:type="gramEnd"/>
            <w:r>
              <w:rPr>
                <w:rFonts w:ascii="Arial" w:eastAsia="Arial" w:hAnsi="Arial" w:cs="Times New Roman"/>
                <w:color w:val="1F2933"/>
                <w:kern w:val="0"/>
                <w:sz w:val="18"/>
                <w:szCs w:val="22"/>
                <w:lang w:eastAsia="en-US"/>
                <w14:ligatures w14:val="none"/>
              </w:rPr>
              <w:t xml:space="preserve"> when necessary, photograph, signature, CPF (Brazilian Individual Taxpayer ID), identification documents, passport, RNM (Brazilian National Migration Registry card) and data of representatives, attorneys-in-fact and ultimate beneficial owners.</w:t>
            </w:r>
          </w:p>
        </w:tc>
      </w:tr>
      <w:tr w:rsidR="00532E5E" w:rsidRPr="00532E5E" w14:paraId="0E19E13F" w14:textId="77777777" w:rsidTr="00303060">
        <w:trPr>
          <w:cantSplit/>
        </w:trPr>
        <w:tc>
          <w:tcPr>
            <w:tcW w:w="2800" w:type="dxa"/>
            <w:tcMar>
              <w:top w:w="90" w:type="dxa"/>
              <w:left w:w="120" w:type="dxa"/>
              <w:bottom w:w="90" w:type="dxa"/>
              <w:right w:w="120" w:type="dxa"/>
            </w:tcMar>
            <w:vAlign w:val="center"/>
          </w:tcPr>
          <w:p w14:paraId="7441921A"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0A3D2B"/>
                <w:kern w:val="0"/>
                <w:sz w:val="18"/>
                <w:szCs w:val="22"/>
                <w:lang w:eastAsia="en-US"/>
                <w14:ligatures w14:val="none"/>
              </w:rPr>
              <w:t>Contact and professional affiliation</w:t>
            </w:r>
          </w:p>
        </w:tc>
        <w:tc>
          <w:tcPr>
            <w:tcW w:w="6718" w:type="dxa"/>
            <w:tcMar>
              <w:top w:w="90" w:type="dxa"/>
              <w:left w:w="120" w:type="dxa"/>
              <w:bottom w:w="90" w:type="dxa"/>
              <w:right w:w="120" w:type="dxa"/>
            </w:tcMar>
            <w:vAlign w:val="center"/>
          </w:tcPr>
          <w:p w14:paraId="128EDF51"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Address, e-mail, telephone, company, position, department, professional data, contact preferences and communications history.</w:t>
            </w:r>
          </w:p>
        </w:tc>
      </w:tr>
      <w:tr w:rsidR="00532E5E" w:rsidRPr="00532E5E" w14:paraId="7F86A8FB" w14:textId="77777777" w:rsidTr="00303060">
        <w:trPr>
          <w:cantSplit/>
        </w:trPr>
        <w:tc>
          <w:tcPr>
            <w:tcW w:w="2800" w:type="dxa"/>
            <w:tcMar>
              <w:top w:w="90" w:type="dxa"/>
              <w:left w:w="120" w:type="dxa"/>
              <w:bottom w:w="90" w:type="dxa"/>
              <w:right w:w="120" w:type="dxa"/>
            </w:tcMar>
            <w:vAlign w:val="center"/>
          </w:tcPr>
          <w:p w14:paraId="11E2F7EB"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0A3D2B"/>
                <w:kern w:val="0"/>
                <w:sz w:val="18"/>
                <w:szCs w:val="22"/>
                <w:lang w:eastAsia="en-US"/>
                <w14:ligatures w14:val="none"/>
              </w:rPr>
              <w:t>Financial and investment data</w:t>
            </w:r>
          </w:p>
        </w:tc>
        <w:tc>
          <w:tcPr>
            <w:tcW w:w="6718" w:type="dxa"/>
            <w:tcMar>
              <w:top w:w="90" w:type="dxa"/>
              <w:left w:w="120" w:type="dxa"/>
              <w:bottom w:w="90" w:type="dxa"/>
              <w:right w:w="120" w:type="dxa"/>
            </w:tcMar>
            <w:vAlign w:val="center"/>
          </w:tcPr>
          <w:p w14:paraId="4B4DB788"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Income or revenue, information on assets, source of funds and source of wealth, bank details, capital commitments, transactions, investment position and history, objectives, experience, risk tolerance and investor categorization.</w:t>
            </w:r>
          </w:p>
        </w:tc>
      </w:tr>
      <w:tr w:rsidR="00532E5E" w:rsidRPr="00532E5E" w14:paraId="745C6EE2" w14:textId="77777777" w:rsidTr="00303060">
        <w:trPr>
          <w:cantSplit/>
        </w:trPr>
        <w:tc>
          <w:tcPr>
            <w:tcW w:w="2800" w:type="dxa"/>
            <w:tcMar>
              <w:top w:w="90" w:type="dxa"/>
              <w:left w:w="120" w:type="dxa"/>
              <w:bottom w:w="90" w:type="dxa"/>
              <w:right w:w="120" w:type="dxa"/>
            </w:tcMar>
            <w:vAlign w:val="center"/>
          </w:tcPr>
          <w:p w14:paraId="6C0D9772"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0A3D2B"/>
                <w:kern w:val="0"/>
                <w:sz w:val="18"/>
                <w:szCs w:val="22"/>
                <w:lang w:eastAsia="en-US"/>
                <w14:ligatures w14:val="none"/>
              </w:rPr>
              <w:t>KYC, AML/CFT, integrity and risk</w:t>
            </w:r>
          </w:p>
        </w:tc>
        <w:tc>
          <w:tcPr>
            <w:tcW w:w="6718" w:type="dxa"/>
            <w:tcMar>
              <w:top w:w="90" w:type="dxa"/>
              <w:left w:w="120" w:type="dxa"/>
              <w:bottom w:w="90" w:type="dxa"/>
              <w:right w:w="120" w:type="dxa"/>
            </w:tcMar>
            <w:vAlign w:val="center"/>
          </w:tcPr>
          <w:p w14:paraId="6077F0C4"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Ultimate beneficial owner, corporate structure, powers of representation, politically exposed person status, restrictive and sanctions lists, adverse media, public proceedings, conflicts of interest, declarations and due diligence results.</w:t>
            </w:r>
          </w:p>
        </w:tc>
      </w:tr>
      <w:tr w:rsidR="00532E5E" w:rsidRPr="00532E5E" w14:paraId="675D50A1" w14:textId="77777777" w:rsidTr="00303060">
        <w:trPr>
          <w:cantSplit/>
        </w:trPr>
        <w:tc>
          <w:tcPr>
            <w:tcW w:w="2800" w:type="dxa"/>
            <w:tcMar>
              <w:top w:w="90" w:type="dxa"/>
              <w:left w:w="120" w:type="dxa"/>
              <w:bottom w:w="90" w:type="dxa"/>
              <w:right w:w="120" w:type="dxa"/>
            </w:tcMar>
            <w:vAlign w:val="center"/>
          </w:tcPr>
          <w:p w14:paraId="1916D295"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0A3D2B"/>
                <w:kern w:val="0"/>
                <w:sz w:val="18"/>
                <w:szCs w:val="22"/>
                <w:lang w:eastAsia="en-US"/>
                <w14:ligatures w14:val="none"/>
              </w:rPr>
              <w:t>Funds, vehicles and transactions</w:t>
            </w:r>
          </w:p>
        </w:tc>
        <w:tc>
          <w:tcPr>
            <w:tcW w:w="6718" w:type="dxa"/>
            <w:tcMar>
              <w:top w:w="90" w:type="dxa"/>
              <w:left w:w="120" w:type="dxa"/>
              <w:bottom w:w="90" w:type="dxa"/>
              <w:right w:w="120" w:type="dxa"/>
            </w:tcMar>
            <w:vAlign w:val="center"/>
          </w:tcPr>
          <w:p w14:paraId="1B9968FC"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Subscription, pay-in, suitability and accession documents; statements of position, general meetings, written consultations, distributions, income, corporate events and information related to transactions.</w:t>
            </w:r>
          </w:p>
        </w:tc>
      </w:tr>
      <w:tr w:rsidR="00532E5E" w:rsidRPr="00532E5E" w14:paraId="753BC65E" w14:textId="77777777" w:rsidTr="00303060">
        <w:trPr>
          <w:cantSplit/>
        </w:trPr>
        <w:tc>
          <w:tcPr>
            <w:tcW w:w="2800" w:type="dxa"/>
            <w:tcMar>
              <w:top w:w="90" w:type="dxa"/>
              <w:left w:w="120" w:type="dxa"/>
              <w:bottom w:w="90" w:type="dxa"/>
              <w:right w:w="120" w:type="dxa"/>
            </w:tcMar>
            <w:vAlign w:val="center"/>
          </w:tcPr>
          <w:p w14:paraId="01EB1C77"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0A3D2B"/>
                <w:kern w:val="0"/>
                <w:sz w:val="18"/>
                <w:szCs w:val="22"/>
                <w:lang w:eastAsia="en-US"/>
                <w14:ligatures w14:val="none"/>
              </w:rPr>
              <w:t>Real estate and consulting</w:t>
            </w:r>
          </w:p>
        </w:tc>
        <w:tc>
          <w:tcPr>
            <w:tcW w:w="6718" w:type="dxa"/>
            <w:tcMar>
              <w:top w:w="90" w:type="dxa"/>
              <w:left w:w="120" w:type="dxa"/>
              <w:bottom w:w="90" w:type="dxa"/>
              <w:right w:w="120" w:type="dxa"/>
            </w:tcMar>
            <w:vAlign w:val="center"/>
          </w:tcPr>
          <w:p w14:paraId="33AFAAE4"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 xml:space="preserve">Property registration records, certificates, contracts, appraisal and technical reports, due diligence documents, guarantees, insurance, collections, legal proceedings and data of persons related to </w:t>
            </w:r>
            <w:proofErr w:type="gramStart"/>
            <w:r>
              <w:rPr>
                <w:rFonts w:ascii="Arial" w:eastAsia="Arial" w:hAnsi="Arial" w:cs="Times New Roman"/>
                <w:color w:val="1F2933"/>
                <w:kern w:val="0"/>
                <w:sz w:val="18"/>
                <w:szCs w:val="22"/>
                <w:lang w:eastAsia="en-US"/>
                <w14:ligatures w14:val="none"/>
              </w:rPr>
              <w:t>the real</w:t>
            </w:r>
            <w:proofErr w:type="gramEnd"/>
            <w:r>
              <w:rPr>
                <w:rFonts w:ascii="Arial" w:eastAsia="Arial" w:hAnsi="Arial" w:cs="Times New Roman"/>
                <w:color w:val="1F2933"/>
                <w:kern w:val="0"/>
                <w:sz w:val="18"/>
                <w:szCs w:val="22"/>
                <w:lang w:eastAsia="en-US"/>
                <w14:ligatures w14:val="none"/>
              </w:rPr>
              <w:t xml:space="preserve"> estate assets and transactions.</w:t>
            </w:r>
          </w:p>
        </w:tc>
      </w:tr>
      <w:tr w:rsidR="00532E5E" w:rsidRPr="00532E5E" w14:paraId="47C1506F" w14:textId="77777777" w:rsidTr="00303060">
        <w:trPr>
          <w:cantSplit/>
        </w:trPr>
        <w:tc>
          <w:tcPr>
            <w:tcW w:w="2800" w:type="dxa"/>
            <w:tcMar>
              <w:top w:w="90" w:type="dxa"/>
              <w:left w:w="120" w:type="dxa"/>
              <w:bottom w:w="90" w:type="dxa"/>
              <w:right w:w="120" w:type="dxa"/>
            </w:tcMar>
            <w:vAlign w:val="center"/>
          </w:tcPr>
          <w:p w14:paraId="1135F751"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0A3D2B"/>
                <w:kern w:val="0"/>
                <w:sz w:val="18"/>
                <w:szCs w:val="22"/>
                <w:lang w:eastAsia="en-US"/>
                <w14:ligatures w14:val="none"/>
              </w:rPr>
              <w:t>Website, marketing and customer service</w:t>
            </w:r>
          </w:p>
        </w:tc>
        <w:tc>
          <w:tcPr>
            <w:tcW w:w="6718" w:type="dxa"/>
            <w:tcMar>
              <w:top w:w="90" w:type="dxa"/>
              <w:left w:w="120" w:type="dxa"/>
              <w:bottom w:w="90" w:type="dxa"/>
              <w:right w:w="120" w:type="dxa"/>
            </w:tcMar>
            <w:vAlign w:val="center"/>
          </w:tcPr>
          <w:p w14:paraId="5E5D98F1"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Name, e-mail, telephone, company, subject, content of messages, communication preferences, IP address, date and time of access, device and browser identifiers, pages visited, source of access and information from cookies and similar technologies.</w:t>
            </w:r>
          </w:p>
        </w:tc>
      </w:tr>
      <w:tr w:rsidR="00532E5E" w:rsidRPr="00532E5E" w14:paraId="17DB71FA" w14:textId="77777777" w:rsidTr="00303060">
        <w:trPr>
          <w:cantSplit/>
        </w:trPr>
        <w:tc>
          <w:tcPr>
            <w:tcW w:w="2800" w:type="dxa"/>
            <w:tcMar>
              <w:top w:w="90" w:type="dxa"/>
              <w:left w:w="120" w:type="dxa"/>
              <w:bottom w:w="90" w:type="dxa"/>
              <w:right w:w="120" w:type="dxa"/>
            </w:tcMar>
            <w:vAlign w:val="center"/>
          </w:tcPr>
          <w:p w14:paraId="5E3787F7"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0A3D2B"/>
                <w:kern w:val="0"/>
                <w:sz w:val="18"/>
                <w:szCs w:val="22"/>
                <w:lang w:eastAsia="en-US"/>
                <w14:ligatures w14:val="none"/>
              </w:rPr>
              <w:lastRenderedPageBreak/>
              <w:t>People and service providers</w:t>
            </w:r>
          </w:p>
        </w:tc>
        <w:tc>
          <w:tcPr>
            <w:tcW w:w="6718" w:type="dxa"/>
            <w:tcMar>
              <w:top w:w="90" w:type="dxa"/>
              <w:left w:w="120" w:type="dxa"/>
              <w:bottom w:w="90" w:type="dxa"/>
              <w:right w:w="120" w:type="dxa"/>
            </w:tcMar>
            <w:vAlign w:val="center"/>
          </w:tcPr>
          <w:p w14:paraId="1368002D"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Résumé, education, professional history, certifications, compensation, benefits, bank details, employment and tax documents, access control, evaluations, training and dependents’ data, where applicable.</w:t>
            </w:r>
          </w:p>
        </w:tc>
      </w:tr>
      <w:tr w:rsidR="00532E5E" w:rsidRPr="00532E5E" w14:paraId="79E4ED20" w14:textId="77777777" w:rsidTr="00303060">
        <w:trPr>
          <w:cantSplit/>
        </w:trPr>
        <w:tc>
          <w:tcPr>
            <w:tcW w:w="2800" w:type="dxa"/>
            <w:tcMar>
              <w:top w:w="90" w:type="dxa"/>
              <w:left w:w="120" w:type="dxa"/>
              <w:bottom w:w="90" w:type="dxa"/>
              <w:right w:w="120" w:type="dxa"/>
            </w:tcMar>
            <w:vAlign w:val="center"/>
          </w:tcPr>
          <w:p w14:paraId="58B03D10"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0A3D2B"/>
                <w:kern w:val="0"/>
                <w:sz w:val="18"/>
                <w:szCs w:val="22"/>
                <w:lang w:eastAsia="en-US"/>
                <w14:ligatures w14:val="none"/>
              </w:rPr>
              <w:t>Governance, compliance and security</w:t>
            </w:r>
          </w:p>
        </w:tc>
        <w:tc>
          <w:tcPr>
            <w:tcW w:w="6718" w:type="dxa"/>
            <w:tcMar>
              <w:top w:w="90" w:type="dxa"/>
              <w:left w:w="120" w:type="dxa"/>
              <w:bottom w:w="90" w:type="dxa"/>
              <w:right w:w="120" w:type="dxa"/>
            </w:tcMar>
            <w:vAlign w:val="center"/>
          </w:tcPr>
          <w:p w14:paraId="7C238652"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Corporate communications, declarations of conflicts and personal investments, access records, internal investigations, whistleblower reports, security incidents and requests related to data subjects’ rights.</w:t>
            </w:r>
          </w:p>
        </w:tc>
      </w:tr>
    </w:tbl>
    <w:p w14:paraId="5E69CFB2" w14:textId="77777777" w:rsidR="00532E5E" w:rsidRPr="00532E5E" w:rsidRDefault="00532E5E" w:rsidP="00532E5E">
      <w:pPr>
        <w:spacing w:after="0" w:line="270" w:lineRule="auto"/>
        <w:rPr>
          <w:rFonts w:ascii="Arial" w:eastAsia="MS Mincho" w:hAnsi="Arial" w:cs="Times New Roman"/>
          <w:color w:val="1F2933"/>
          <w:kern w:val="0"/>
          <w:sz w:val="21"/>
          <w:szCs w:val="22"/>
          <w:lang w:eastAsia="en-US"/>
          <w14:ligatures w14:val="none"/>
        </w:rPr>
      </w:pPr>
    </w:p>
    <w:p w14:paraId="1C51CF3C" w14:textId="3EEAA6E3" w:rsidR="00532E5E" w:rsidRPr="00532E5E" w:rsidRDefault="00532E5E" w:rsidP="00532E5E">
      <w:pPr>
        <w:keepNext/>
        <w:keepLines/>
        <w:spacing w:before="300" w:after="140" w:line="252" w:lineRule="auto"/>
        <w:outlineLvl w:val="0"/>
        <w:rPr>
          <w:rFonts w:ascii="Calibri" w:eastAsia="MS Gothic" w:hAnsi="Calibri" w:cs="Times New Roman"/>
          <w:b/>
          <w:bCs/>
          <w:color w:val="0A3D2B"/>
          <w:kern w:val="0"/>
          <w:sz w:val="30"/>
          <w:szCs w:val="28"/>
          <w:lang w:eastAsia="en-US"/>
          <w14:ligatures w14:val="none"/>
        </w:rPr>
      </w:pPr>
      <w:r>
        <w:rPr>
          <w:rFonts w:ascii="Calibri" w:eastAsia="MS Gothic" w:hAnsi="Calibri" w:cs="Times New Roman"/>
          <w:b/>
          <w:bCs/>
          <w:color w:val="0A3D2B"/>
          <w:kern w:val="0"/>
          <w:sz w:val="30"/>
          <w:szCs w:val="28"/>
          <w:lang w:eastAsia="en-US"/>
          <w14:ligatures w14:val="none"/>
        </w:rPr>
        <w:t>5. How we obtain data</w:t>
      </w:r>
    </w:p>
    <w:p w14:paraId="0987F609" w14:textId="77777777" w:rsidR="00532E5E" w:rsidRPr="00532E5E" w:rsidRDefault="00532E5E" w:rsidP="00532E5E">
      <w:pPr>
        <w:spacing w:after="100" w:line="270"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21"/>
          <w:szCs w:val="22"/>
          <w:lang w:eastAsia="en-US"/>
          <w14:ligatures w14:val="none"/>
        </w:rPr>
        <w:t>Personal data may be obtained:</w:t>
      </w:r>
    </w:p>
    <w:p w14:paraId="3FF66474"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directly from the data subject, through forms, physical or electronic documents, contracts, questionnaires, recruitment processes, e-mail, telephone, meetings, events, messaging apps and other interactions;</w:t>
      </w:r>
    </w:p>
    <w:p w14:paraId="6A787DEB"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from fiduciary administrators, distributors, bookkeeping agents, custodians, banks, brokerage firms, consultants, advisors, auditors, Group companies, funds, vehicles and other service providers or partners;</w:t>
      </w:r>
    </w:p>
    <w:p w14:paraId="2B83A106"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from legal entities with which the data subject is affiliated, such as employers, institutional investors, service providers, tenants and counterparties;</w:t>
      </w:r>
    </w:p>
    <w:p w14:paraId="73C5384C"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from public or lawfully accessible sources, including databases of bodies and entities such as the CVM (Brazilian Securities and Exchange Commission), ANBIMA, B3, the Brazilian Federal Revenue Service, commercial registries, notary and registry offices, courts, official gazettes and integrity, sanctions and restrictions registers; and</w:t>
      </w:r>
    </w:p>
    <w:p w14:paraId="700DA2A2"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automatically, during the use of the website and of corporate networks, systems and resources, through logs, cookies, tags and similar technologies.</w:t>
      </w:r>
    </w:p>
    <w:p w14:paraId="562517C3" w14:textId="77777777" w:rsidR="00532E5E" w:rsidRPr="00532E5E" w:rsidRDefault="00532E5E" w:rsidP="00532E5E">
      <w:pPr>
        <w:keepNext/>
        <w:keepLines/>
        <w:spacing w:before="300" w:after="140" w:line="252" w:lineRule="auto"/>
        <w:outlineLvl w:val="0"/>
        <w:rPr>
          <w:rFonts w:ascii="Calibri" w:eastAsia="MS Gothic" w:hAnsi="Calibri" w:cs="Times New Roman"/>
          <w:b/>
          <w:bCs/>
          <w:color w:val="0A3D2B"/>
          <w:kern w:val="0"/>
          <w:sz w:val="30"/>
          <w:szCs w:val="28"/>
          <w:lang w:eastAsia="en-US"/>
          <w14:ligatures w14:val="none"/>
        </w:rPr>
      </w:pPr>
      <w:r>
        <w:rPr>
          <w:rFonts w:ascii="Calibri" w:eastAsia="MS Gothic" w:hAnsi="Calibri" w:cs="Times New Roman"/>
          <w:b/>
          <w:bCs/>
          <w:color w:val="0A3D2B"/>
          <w:kern w:val="0"/>
          <w:sz w:val="30"/>
          <w:szCs w:val="28"/>
          <w:lang w:eastAsia="en-US"/>
          <w14:ligatures w14:val="none"/>
        </w:rPr>
        <w:t>6. Why we use data and which legal bases we apply</w:t>
      </w:r>
    </w:p>
    <w:p w14:paraId="680D77DE" w14:textId="77777777" w:rsidR="00532E5E" w:rsidRDefault="00532E5E" w:rsidP="009962DB">
      <w:pPr>
        <w:spacing w:after="100" w:line="270" w:lineRule="auto"/>
        <w:jc w:val="both"/>
        <w:rPr>
          <w:rFonts w:ascii="Arial" w:eastAsia="Arial" w:hAnsi="Arial" w:cs="Times New Roman"/>
          <w:color w:val="1F2933"/>
          <w:kern w:val="0"/>
          <w:sz w:val="21"/>
          <w:szCs w:val="22"/>
          <w:lang w:eastAsia="en-US"/>
          <w14:ligatures w14:val="none"/>
        </w:rPr>
      </w:pPr>
      <w:r>
        <w:rPr>
          <w:rFonts w:ascii="Arial" w:eastAsia="Arial" w:hAnsi="Arial" w:cs="Times New Roman"/>
          <w:color w:val="1F2933"/>
          <w:kern w:val="0"/>
          <w:sz w:val="21"/>
          <w:szCs w:val="22"/>
          <w:lang w:eastAsia="en-US"/>
          <w14:ligatures w14:val="none"/>
        </w:rPr>
        <w:t>Processing is carried out only when there is a legitimate purpose and an applicable legal basis. A single activity may involve more than one legal basis, depending on the nature of the data, the data subject and the obligation involved. The main situations are:</w:t>
      </w:r>
    </w:p>
    <w:p w14:paraId="4DA68BB0" w14:textId="77777777" w:rsidR="00C7329D" w:rsidRPr="00532E5E" w:rsidRDefault="00C7329D" w:rsidP="009962DB">
      <w:pPr>
        <w:spacing w:after="100" w:line="270" w:lineRule="auto"/>
        <w:jc w:val="both"/>
        <w:rPr>
          <w:rFonts w:ascii="Arial" w:eastAsia="MS Mincho" w:hAnsi="Arial" w:cs="Times New Roman"/>
          <w:color w:val="1F2933"/>
          <w:kern w:val="0"/>
          <w:sz w:val="21"/>
          <w:szCs w:val="22"/>
          <w:lang w:eastAsia="en-US"/>
          <w14:ligatures w14:val="none"/>
        </w:rPr>
      </w:pPr>
    </w:p>
    <w:tbl>
      <w:tblPr>
        <w:tblW w:w="6420" w:type="dxa"/>
        <w:jc w:val="center"/>
        <w:tblBorders>
          <w:top w:val="single" w:sz="6" w:space="0" w:color="D6DADD"/>
          <w:left w:val="single" w:sz="6" w:space="0" w:color="D6DADD"/>
          <w:bottom w:val="single" w:sz="6" w:space="0" w:color="D6DADD"/>
          <w:right w:val="single" w:sz="6" w:space="0" w:color="D6DADD"/>
          <w:insideH w:val="single" w:sz="6" w:space="0" w:color="D6DADD"/>
          <w:insideV w:val="single" w:sz="6" w:space="0" w:color="D6DADD"/>
        </w:tblBorders>
        <w:tblLayout w:type="fixed"/>
        <w:tblLook w:val="04A0" w:firstRow="1" w:lastRow="0" w:firstColumn="1" w:lastColumn="0" w:noHBand="0" w:noVBand="1"/>
      </w:tblPr>
      <w:tblGrid>
        <w:gridCol w:w="2200"/>
        <w:gridCol w:w="4220"/>
      </w:tblGrid>
      <w:tr w:rsidR="006F698A" w:rsidRPr="00532E5E" w14:paraId="5C9E45EF" w14:textId="77777777" w:rsidTr="37EE27D9">
        <w:trPr>
          <w:cantSplit/>
          <w:tblHeader/>
          <w:jc w:val="center"/>
        </w:trPr>
        <w:tc>
          <w:tcPr>
            <w:tcW w:w="2200" w:type="dxa"/>
            <w:shd w:val="clear" w:color="auto" w:fill="0A3D2B"/>
            <w:tcMar>
              <w:top w:w="90" w:type="dxa"/>
              <w:left w:w="120" w:type="dxa"/>
              <w:bottom w:w="90" w:type="dxa"/>
              <w:right w:w="120" w:type="dxa"/>
            </w:tcMar>
            <w:vAlign w:val="center"/>
          </w:tcPr>
          <w:p w14:paraId="67BC6C4B" w14:textId="77777777" w:rsidR="006F698A" w:rsidRPr="00532E5E" w:rsidRDefault="006F698A"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FFFFFF"/>
                <w:kern w:val="0"/>
                <w:sz w:val="17"/>
                <w:szCs w:val="22"/>
                <w:lang w:eastAsia="en-US"/>
                <w14:ligatures w14:val="none"/>
              </w:rPr>
              <w:t>Context</w:t>
            </w:r>
          </w:p>
        </w:tc>
        <w:tc>
          <w:tcPr>
            <w:tcW w:w="4220" w:type="dxa"/>
            <w:shd w:val="clear" w:color="auto" w:fill="0A3D2B"/>
            <w:tcMar>
              <w:top w:w="90" w:type="dxa"/>
              <w:left w:w="120" w:type="dxa"/>
              <w:bottom w:w="90" w:type="dxa"/>
              <w:right w:w="120" w:type="dxa"/>
            </w:tcMar>
            <w:vAlign w:val="center"/>
          </w:tcPr>
          <w:p w14:paraId="4293619F" w14:textId="77777777" w:rsidR="006F698A" w:rsidRPr="00532E5E" w:rsidRDefault="006F698A"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FFFFFF"/>
                <w:kern w:val="0"/>
                <w:sz w:val="17"/>
                <w:szCs w:val="22"/>
                <w:lang w:eastAsia="en-US"/>
                <w14:ligatures w14:val="none"/>
              </w:rPr>
              <w:t>Main purposes</w:t>
            </w:r>
          </w:p>
        </w:tc>
      </w:tr>
      <w:tr w:rsidR="006F698A" w:rsidRPr="00532E5E" w14:paraId="57DFA35C" w14:textId="77777777" w:rsidTr="37EE27D9">
        <w:trPr>
          <w:cantSplit/>
          <w:jc w:val="center"/>
        </w:trPr>
        <w:tc>
          <w:tcPr>
            <w:tcW w:w="2200" w:type="dxa"/>
            <w:tcMar>
              <w:top w:w="90" w:type="dxa"/>
              <w:left w:w="120" w:type="dxa"/>
              <w:bottom w:w="90" w:type="dxa"/>
              <w:right w:w="120" w:type="dxa"/>
            </w:tcMar>
            <w:vAlign w:val="center"/>
          </w:tcPr>
          <w:p w14:paraId="3EEDD25E" w14:textId="77777777" w:rsidR="006F698A" w:rsidRPr="00532E5E" w:rsidRDefault="006F698A"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0A3D2B"/>
                <w:kern w:val="0"/>
                <w:sz w:val="17"/>
                <w:szCs w:val="22"/>
                <w:lang w:eastAsia="en-US"/>
                <w14:ligatures w14:val="none"/>
              </w:rPr>
              <w:t>Website, contacts and institutional relationship</w:t>
            </w:r>
          </w:p>
        </w:tc>
        <w:tc>
          <w:tcPr>
            <w:tcW w:w="4220" w:type="dxa"/>
            <w:tcMar>
              <w:top w:w="90" w:type="dxa"/>
              <w:left w:w="120" w:type="dxa"/>
              <w:bottom w:w="90" w:type="dxa"/>
              <w:right w:w="120" w:type="dxa"/>
            </w:tcMar>
            <w:vAlign w:val="center"/>
          </w:tcPr>
          <w:p w14:paraId="44AC333E" w14:textId="77777777" w:rsidR="006F698A" w:rsidRPr="00532E5E" w:rsidRDefault="006F698A" w:rsidP="009962DB">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7"/>
                <w:szCs w:val="22"/>
                <w:lang w:eastAsia="en-US"/>
                <w14:ligatures w14:val="none"/>
              </w:rPr>
              <w:t>Operating and protecting the website; receiving, analyzing and responding to questions, requests, proposals and contacts; organizing institutional and commercial relationships.</w:t>
            </w:r>
          </w:p>
        </w:tc>
      </w:tr>
      <w:tr w:rsidR="006F698A" w:rsidRPr="00532E5E" w14:paraId="46E7B40D" w14:textId="77777777" w:rsidTr="37EE27D9">
        <w:trPr>
          <w:cantSplit/>
          <w:jc w:val="center"/>
        </w:trPr>
        <w:tc>
          <w:tcPr>
            <w:tcW w:w="2200" w:type="dxa"/>
            <w:tcMar>
              <w:top w:w="90" w:type="dxa"/>
              <w:left w:w="120" w:type="dxa"/>
              <w:bottom w:w="90" w:type="dxa"/>
              <w:right w:w="120" w:type="dxa"/>
            </w:tcMar>
            <w:vAlign w:val="center"/>
          </w:tcPr>
          <w:p w14:paraId="398AD34B" w14:textId="77777777" w:rsidR="006F698A" w:rsidRPr="00532E5E" w:rsidRDefault="006F698A"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0A3D2B"/>
                <w:kern w:val="0"/>
                <w:sz w:val="17"/>
                <w:szCs w:val="22"/>
                <w:lang w:eastAsia="en-US"/>
                <w14:ligatures w14:val="none"/>
              </w:rPr>
              <w:t>Marketing and communications</w:t>
            </w:r>
          </w:p>
        </w:tc>
        <w:tc>
          <w:tcPr>
            <w:tcW w:w="4220" w:type="dxa"/>
            <w:tcMar>
              <w:top w:w="90" w:type="dxa"/>
              <w:left w:w="120" w:type="dxa"/>
              <w:bottom w:w="90" w:type="dxa"/>
              <w:right w:w="120" w:type="dxa"/>
            </w:tcMar>
            <w:vAlign w:val="center"/>
          </w:tcPr>
          <w:p w14:paraId="1DD8BA0B" w14:textId="35B4822F" w:rsidR="006F698A" w:rsidRPr="00532E5E" w:rsidRDefault="006F698A" w:rsidP="37EE27D9">
            <w:pPr>
              <w:spacing w:after="0" w:line="259" w:lineRule="auto"/>
            </w:pPr>
            <w:r>
              <w:rPr>
                <w:rFonts w:ascii="Arial" w:eastAsia="Arial" w:hAnsi="Arial" w:cs="Times New Roman"/>
                <w:color w:val="1F2933"/>
                <w:kern w:val="0"/>
                <w:sz w:val="17"/>
                <w:szCs w:val="17"/>
                <w:lang w:eastAsia="en-US"/>
                <w14:ligatures w14:val="none"/>
              </w:rPr>
              <w:t>Sending</w:t>
            </w:r>
            <w:r>
              <w:rPr>
                <w:rFonts w:ascii="Arial" w:eastAsia="Arial" w:hAnsi="Arial" w:cs="Times New Roman"/>
                <w:color w:val="1F2933"/>
                <w:sz w:val="17"/>
                <w:szCs w:val="17"/>
                <w:lang w:eastAsia="en-US"/>
              </w:rPr>
              <w:t xml:space="preserve">, </w:t>
            </w:r>
            <w:r>
              <w:rPr>
                <w:rFonts w:ascii="Arial" w:eastAsia="Arial" w:hAnsi="Arial" w:cs="Arial"/>
                <w:color w:val="1F2933"/>
                <w:sz w:val="17"/>
                <w:szCs w:val="17"/>
              </w:rPr>
              <w:t>by e-mail, WhatsApp and other applicable channels, newsletters, bulletins, content and institutional or marketing communications about inVista, its products, funds, events and initiatives, as well as managing preferences and unsubscriptions.</w:t>
            </w:r>
          </w:p>
        </w:tc>
      </w:tr>
      <w:tr w:rsidR="006F698A" w:rsidRPr="00532E5E" w14:paraId="037CF00F" w14:textId="77777777" w:rsidTr="37EE27D9">
        <w:trPr>
          <w:cantSplit/>
          <w:jc w:val="center"/>
        </w:trPr>
        <w:tc>
          <w:tcPr>
            <w:tcW w:w="2200" w:type="dxa"/>
            <w:tcMar>
              <w:top w:w="90" w:type="dxa"/>
              <w:left w:w="120" w:type="dxa"/>
              <w:bottom w:w="90" w:type="dxa"/>
              <w:right w:w="120" w:type="dxa"/>
            </w:tcMar>
            <w:vAlign w:val="center"/>
          </w:tcPr>
          <w:p w14:paraId="41F33715" w14:textId="77777777" w:rsidR="006F698A" w:rsidRPr="00532E5E" w:rsidRDefault="006F698A"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0A3D2B"/>
                <w:kern w:val="0"/>
                <w:sz w:val="17"/>
                <w:szCs w:val="22"/>
                <w:lang w:eastAsia="en-US"/>
                <w14:ligatures w14:val="none"/>
              </w:rPr>
              <w:lastRenderedPageBreak/>
              <w:t>Investors, funds and vehicles</w:t>
            </w:r>
          </w:p>
        </w:tc>
        <w:tc>
          <w:tcPr>
            <w:tcW w:w="4220" w:type="dxa"/>
            <w:tcMar>
              <w:top w:w="90" w:type="dxa"/>
              <w:left w:w="120" w:type="dxa"/>
              <w:bottom w:w="90" w:type="dxa"/>
              <w:right w:w="120" w:type="dxa"/>
            </w:tcMar>
            <w:vAlign w:val="center"/>
          </w:tcPr>
          <w:p w14:paraId="2A94EABC" w14:textId="39274DA1" w:rsidR="006F698A" w:rsidRPr="00532E5E" w:rsidRDefault="006F698A" w:rsidP="37EE27D9">
            <w:pPr>
              <w:spacing w:after="0" w:line="259" w:lineRule="auto"/>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17"/>
                <w:szCs w:val="17"/>
                <w:lang w:eastAsia="en-US"/>
                <w14:ligatures w14:val="none"/>
              </w:rPr>
              <w:t xml:space="preserve">Prospecting and maintaining relationships; assessing eligibility and </w:t>
            </w:r>
            <w:r>
              <w:rPr>
                <w:rFonts w:ascii="Arial" w:eastAsia="Arial" w:hAnsi="Arial" w:cs="Times New Roman"/>
                <w:color w:val="1F2933"/>
                <w:sz w:val="17"/>
                <w:szCs w:val="17"/>
                <w:lang w:eastAsia="en-US"/>
              </w:rPr>
              <w:t xml:space="preserve">suitability; </w:t>
            </w:r>
            <w:r>
              <w:rPr>
                <w:rFonts w:ascii="Arial" w:eastAsia="Arial" w:hAnsi="Arial" w:cs="Times New Roman"/>
                <w:color w:val="1F2933"/>
                <w:kern w:val="0"/>
                <w:sz w:val="17"/>
                <w:szCs w:val="17"/>
                <w:lang w:eastAsia="en-US"/>
                <w14:ligatures w14:val="none"/>
              </w:rPr>
              <w:t>supporting registration, subscription and pay-in; managing portfolios and funds; monitoring investments, transactions, rights, resolutions</w:t>
            </w:r>
            <w:r>
              <w:rPr>
                <w:rFonts w:ascii="Arial" w:eastAsia="Arial" w:hAnsi="Arial" w:cs="Times New Roman"/>
                <w:color w:val="1F2933"/>
                <w:sz w:val="17"/>
                <w:szCs w:val="17"/>
                <w:lang w:eastAsia="en-US"/>
              </w:rPr>
              <w:t xml:space="preserve">; transparency obligations; sending fund reports, </w:t>
            </w:r>
            <w:r>
              <w:rPr>
                <w:rFonts w:ascii="Arial" w:eastAsia="Arial" w:hAnsi="Arial" w:cs="Arial"/>
                <w:color w:val="1F2933"/>
                <w:sz w:val="17"/>
                <w:szCs w:val="17"/>
              </w:rPr>
              <w:t>complying with transparency obligations; sending fund reports and making available communications, videos, summaries and other informational content related to such reports</w:t>
            </w:r>
            <w:r>
              <w:rPr>
                <w:rFonts w:ascii="Arial" w:eastAsia="Arial" w:hAnsi="Arial" w:cs="Times New Roman"/>
                <w:color w:val="1F2933"/>
                <w:sz w:val="17"/>
                <w:szCs w:val="17"/>
                <w:lang w:eastAsia="en-US"/>
              </w:rPr>
              <w:t>.</w:t>
            </w:r>
          </w:p>
        </w:tc>
      </w:tr>
      <w:tr w:rsidR="006F698A" w:rsidRPr="00532E5E" w14:paraId="29363D67" w14:textId="77777777" w:rsidTr="37EE27D9">
        <w:trPr>
          <w:cantSplit/>
          <w:jc w:val="center"/>
        </w:trPr>
        <w:tc>
          <w:tcPr>
            <w:tcW w:w="2200" w:type="dxa"/>
            <w:tcMar>
              <w:top w:w="90" w:type="dxa"/>
              <w:left w:w="120" w:type="dxa"/>
              <w:bottom w:w="90" w:type="dxa"/>
              <w:right w:w="120" w:type="dxa"/>
            </w:tcMar>
            <w:vAlign w:val="center"/>
          </w:tcPr>
          <w:p w14:paraId="6B12155C" w14:textId="77777777" w:rsidR="006F698A" w:rsidRPr="00532E5E" w:rsidRDefault="006F698A"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0A3D2B"/>
                <w:kern w:val="0"/>
                <w:sz w:val="17"/>
                <w:szCs w:val="22"/>
                <w:lang w:eastAsia="en-US"/>
                <w14:ligatures w14:val="none"/>
              </w:rPr>
              <w:t>KYC, AML/CFT, integrity and risk</w:t>
            </w:r>
          </w:p>
        </w:tc>
        <w:tc>
          <w:tcPr>
            <w:tcW w:w="4220" w:type="dxa"/>
            <w:tcMar>
              <w:top w:w="90" w:type="dxa"/>
              <w:left w:w="120" w:type="dxa"/>
              <w:bottom w:w="90" w:type="dxa"/>
              <w:right w:w="120" w:type="dxa"/>
            </w:tcMar>
            <w:vAlign w:val="center"/>
          </w:tcPr>
          <w:p w14:paraId="2FCA672E" w14:textId="77777777" w:rsidR="006F698A" w:rsidRPr="00532E5E" w:rsidRDefault="006F698A" w:rsidP="009962DB">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7"/>
                <w:szCs w:val="22"/>
                <w:lang w:eastAsia="en-US"/>
                <w14:ligatures w14:val="none"/>
              </w:rPr>
              <w:t>Identifying clients, investors, counterparties, service providers and ultimate beneficial owners and obtaining their particulars; screening for PEPs, sanctions, source of funds, conflicts, fraud, risks and other due diligence requirements.</w:t>
            </w:r>
          </w:p>
        </w:tc>
      </w:tr>
      <w:tr w:rsidR="006F698A" w:rsidRPr="00532E5E" w14:paraId="1B762A1C" w14:textId="77777777" w:rsidTr="37EE27D9">
        <w:trPr>
          <w:cantSplit/>
          <w:jc w:val="center"/>
        </w:trPr>
        <w:tc>
          <w:tcPr>
            <w:tcW w:w="2200" w:type="dxa"/>
            <w:tcMar>
              <w:top w:w="90" w:type="dxa"/>
              <w:left w:w="120" w:type="dxa"/>
              <w:bottom w:w="90" w:type="dxa"/>
              <w:right w:w="120" w:type="dxa"/>
            </w:tcMar>
            <w:vAlign w:val="center"/>
          </w:tcPr>
          <w:p w14:paraId="20DE514B" w14:textId="77777777" w:rsidR="006F698A" w:rsidRPr="00532E5E" w:rsidRDefault="006F698A"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0A3D2B"/>
                <w:kern w:val="0"/>
                <w:sz w:val="17"/>
                <w:szCs w:val="22"/>
                <w:lang w:eastAsia="en-US"/>
                <w14:ligatures w14:val="none"/>
              </w:rPr>
              <w:t>Real estate investments and transactions</w:t>
            </w:r>
          </w:p>
        </w:tc>
        <w:tc>
          <w:tcPr>
            <w:tcW w:w="4220" w:type="dxa"/>
            <w:tcMar>
              <w:top w:w="90" w:type="dxa"/>
              <w:left w:w="120" w:type="dxa"/>
              <w:bottom w:w="90" w:type="dxa"/>
              <w:right w:w="120" w:type="dxa"/>
            </w:tcMar>
            <w:vAlign w:val="center"/>
          </w:tcPr>
          <w:p w14:paraId="0BE16F8F" w14:textId="77777777" w:rsidR="006F698A" w:rsidRPr="00532E5E" w:rsidRDefault="006F698A" w:rsidP="009962DB">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7"/>
                <w:szCs w:val="22"/>
                <w:lang w:eastAsia="en-US"/>
                <w14:ligatures w14:val="none"/>
              </w:rPr>
              <w:t>Originating, analyzing, structuring, acquiring, monitoring, managing, leasing, financing, collecting</w:t>
            </w:r>
            <w:proofErr w:type="gramStart"/>
            <w:r>
              <w:rPr>
                <w:rFonts w:ascii="Arial" w:eastAsia="Arial" w:hAnsi="Arial" w:cs="Times New Roman"/>
                <w:color w:val="1F2933"/>
                <w:kern w:val="0"/>
                <w:sz w:val="17"/>
                <w:szCs w:val="22"/>
                <w:lang w:eastAsia="en-US"/>
                <w14:ligatures w14:val="none"/>
              </w:rPr>
              <w:t>, securing</w:t>
            </w:r>
            <w:proofErr w:type="gramEnd"/>
            <w:r>
              <w:rPr>
                <w:rFonts w:ascii="Arial" w:eastAsia="Arial" w:hAnsi="Arial" w:cs="Times New Roman"/>
                <w:color w:val="1F2933"/>
                <w:kern w:val="0"/>
                <w:sz w:val="17"/>
                <w:szCs w:val="22"/>
                <w:lang w:eastAsia="en-US"/>
                <w14:ligatures w14:val="none"/>
              </w:rPr>
              <w:t xml:space="preserve"> and divesting assets; conducting due diligence, appraisals, consulting and transactions.</w:t>
            </w:r>
          </w:p>
        </w:tc>
      </w:tr>
      <w:tr w:rsidR="006F698A" w:rsidRPr="00532E5E" w14:paraId="7B632412" w14:textId="77777777" w:rsidTr="37EE27D9">
        <w:trPr>
          <w:cantSplit/>
          <w:jc w:val="center"/>
        </w:trPr>
        <w:tc>
          <w:tcPr>
            <w:tcW w:w="2200" w:type="dxa"/>
            <w:tcMar>
              <w:top w:w="90" w:type="dxa"/>
              <w:left w:w="120" w:type="dxa"/>
              <w:bottom w:w="90" w:type="dxa"/>
              <w:right w:w="120" w:type="dxa"/>
            </w:tcMar>
            <w:vAlign w:val="center"/>
          </w:tcPr>
          <w:p w14:paraId="1F3A2879" w14:textId="77777777" w:rsidR="006F698A" w:rsidRPr="00532E5E" w:rsidRDefault="006F698A"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0A3D2B"/>
                <w:kern w:val="0"/>
                <w:sz w:val="17"/>
                <w:szCs w:val="22"/>
                <w:lang w:eastAsia="en-US"/>
                <w14:ligatures w14:val="none"/>
              </w:rPr>
              <w:t>Job applicants, employees and dependents</w:t>
            </w:r>
          </w:p>
        </w:tc>
        <w:tc>
          <w:tcPr>
            <w:tcW w:w="4220" w:type="dxa"/>
            <w:tcMar>
              <w:top w:w="90" w:type="dxa"/>
              <w:left w:w="120" w:type="dxa"/>
              <w:bottom w:w="90" w:type="dxa"/>
              <w:right w:w="120" w:type="dxa"/>
            </w:tcMar>
            <w:vAlign w:val="center"/>
          </w:tcPr>
          <w:p w14:paraId="152F7B8F" w14:textId="77777777" w:rsidR="006F698A" w:rsidRPr="00532E5E" w:rsidRDefault="006F698A" w:rsidP="009962DB">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7"/>
                <w:szCs w:val="22"/>
                <w:lang w:eastAsia="en-US"/>
                <w14:ligatures w14:val="none"/>
              </w:rPr>
              <w:t>Recruiting, selecting, hiring and managing people; paying compensation and benefits; conducting training, evaluations and access controls; complying with labor, social security, tax and occupational health and safety obligations.</w:t>
            </w:r>
          </w:p>
        </w:tc>
      </w:tr>
      <w:tr w:rsidR="006F698A" w:rsidRPr="00532E5E" w14:paraId="7E9E162C" w14:textId="77777777" w:rsidTr="37EE27D9">
        <w:trPr>
          <w:cantSplit/>
          <w:jc w:val="center"/>
        </w:trPr>
        <w:tc>
          <w:tcPr>
            <w:tcW w:w="2200" w:type="dxa"/>
            <w:tcMar>
              <w:top w:w="90" w:type="dxa"/>
              <w:left w:w="120" w:type="dxa"/>
              <w:bottom w:w="90" w:type="dxa"/>
              <w:right w:w="120" w:type="dxa"/>
            </w:tcMar>
            <w:vAlign w:val="center"/>
          </w:tcPr>
          <w:p w14:paraId="256BB848" w14:textId="77777777" w:rsidR="006F698A" w:rsidRPr="00532E5E" w:rsidRDefault="006F698A"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0A3D2B"/>
                <w:kern w:val="0"/>
                <w:sz w:val="17"/>
                <w:szCs w:val="22"/>
                <w:lang w:eastAsia="en-US"/>
                <w14:ligatures w14:val="none"/>
              </w:rPr>
              <w:t>Suppliers, partners and representatives</w:t>
            </w:r>
          </w:p>
        </w:tc>
        <w:tc>
          <w:tcPr>
            <w:tcW w:w="4220" w:type="dxa"/>
            <w:tcMar>
              <w:top w:w="90" w:type="dxa"/>
              <w:left w:w="120" w:type="dxa"/>
              <w:bottom w:w="90" w:type="dxa"/>
              <w:right w:w="120" w:type="dxa"/>
            </w:tcMar>
            <w:vAlign w:val="center"/>
          </w:tcPr>
          <w:p w14:paraId="308971A8" w14:textId="77777777" w:rsidR="006F698A" w:rsidRPr="00532E5E" w:rsidRDefault="006F698A" w:rsidP="009962DB">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7"/>
                <w:szCs w:val="22"/>
                <w:lang w:eastAsia="en-US"/>
                <w14:ligatures w14:val="none"/>
              </w:rPr>
              <w:t>Registering, engaging, paying, evaluating and managing service providers and partners; managing access, communications, documents and contractual obligations.</w:t>
            </w:r>
          </w:p>
        </w:tc>
      </w:tr>
      <w:tr w:rsidR="006F698A" w:rsidRPr="00532E5E" w14:paraId="644ABED5" w14:textId="77777777" w:rsidTr="37EE27D9">
        <w:trPr>
          <w:cantSplit/>
          <w:jc w:val="center"/>
        </w:trPr>
        <w:tc>
          <w:tcPr>
            <w:tcW w:w="2200" w:type="dxa"/>
            <w:tcMar>
              <w:top w:w="90" w:type="dxa"/>
              <w:left w:w="120" w:type="dxa"/>
              <w:bottom w:w="90" w:type="dxa"/>
              <w:right w:w="120" w:type="dxa"/>
            </w:tcMar>
            <w:vAlign w:val="center"/>
          </w:tcPr>
          <w:p w14:paraId="11C5A39A" w14:textId="77777777" w:rsidR="006F698A" w:rsidRPr="00532E5E" w:rsidRDefault="006F698A"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0A3D2B"/>
                <w:kern w:val="0"/>
                <w:sz w:val="17"/>
                <w:szCs w:val="22"/>
                <w:lang w:eastAsia="en-US"/>
                <w14:ligatures w14:val="none"/>
              </w:rPr>
              <w:t>Governance, compliance and security</w:t>
            </w:r>
          </w:p>
        </w:tc>
        <w:tc>
          <w:tcPr>
            <w:tcW w:w="4220" w:type="dxa"/>
            <w:tcMar>
              <w:top w:w="90" w:type="dxa"/>
              <w:left w:w="120" w:type="dxa"/>
              <w:bottom w:w="90" w:type="dxa"/>
              <w:right w:w="120" w:type="dxa"/>
            </w:tcMar>
            <w:vAlign w:val="center"/>
          </w:tcPr>
          <w:p w14:paraId="662209F5" w14:textId="77777777" w:rsidR="006F698A" w:rsidRPr="00532E5E" w:rsidRDefault="006F698A" w:rsidP="009962DB">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7"/>
                <w:szCs w:val="22"/>
                <w:lang w:eastAsia="en-US"/>
                <w14:ligatures w14:val="none"/>
              </w:rPr>
              <w:t>Preventing and investigating irregularities; managing conflicts; monitoring and protecting environments and resources; responding to incidents; handling audits, inspections, authorities and data subject requests; preserving evidence.</w:t>
            </w:r>
          </w:p>
        </w:tc>
      </w:tr>
      <w:tr w:rsidR="006F698A" w:rsidRPr="00532E5E" w14:paraId="0C743895" w14:textId="77777777" w:rsidTr="37EE27D9">
        <w:trPr>
          <w:cantSplit/>
          <w:jc w:val="center"/>
        </w:trPr>
        <w:tc>
          <w:tcPr>
            <w:tcW w:w="2200" w:type="dxa"/>
            <w:tcMar>
              <w:top w:w="90" w:type="dxa"/>
              <w:left w:w="120" w:type="dxa"/>
              <w:bottom w:w="90" w:type="dxa"/>
              <w:right w:w="120" w:type="dxa"/>
            </w:tcMar>
            <w:vAlign w:val="center"/>
          </w:tcPr>
          <w:p w14:paraId="2287D2F0" w14:textId="77777777" w:rsidR="006F698A" w:rsidRPr="00532E5E" w:rsidRDefault="006F698A"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0A3D2B"/>
                <w:kern w:val="0"/>
                <w:sz w:val="17"/>
                <w:szCs w:val="22"/>
                <w:lang w:eastAsia="en-US"/>
                <w14:ligatures w14:val="none"/>
              </w:rPr>
              <w:t>Statistics and improvement</w:t>
            </w:r>
          </w:p>
        </w:tc>
        <w:tc>
          <w:tcPr>
            <w:tcW w:w="4220" w:type="dxa"/>
            <w:tcMar>
              <w:top w:w="90" w:type="dxa"/>
              <w:left w:w="120" w:type="dxa"/>
              <w:bottom w:w="90" w:type="dxa"/>
              <w:right w:w="120" w:type="dxa"/>
            </w:tcMar>
            <w:vAlign w:val="center"/>
          </w:tcPr>
          <w:p w14:paraId="4FB407B2" w14:textId="77777777" w:rsidR="006F698A" w:rsidRPr="00532E5E" w:rsidRDefault="006F698A" w:rsidP="009962DB">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7"/>
                <w:szCs w:val="22"/>
                <w:lang w:eastAsia="en-US"/>
                <w14:ligatures w14:val="none"/>
              </w:rPr>
              <w:t>Producing metrics, reports and analyses; evaluating performance; improving processes, products, investments, controls and customer service.</w:t>
            </w:r>
          </w:p>
        </w:tc>
      </w:tr>
    </w:tbl>
    <w:p w14:paraId="35ED13FD" w14:textId="3B218751" w:rsidR="00532E5E" w:rsidRPr="00532E5E" w:rsidRDefault="006F698A" w:rsidP="00532E5E">
      <w:pPr>
        <w:keepNext/>
        <w:keepLines/>
        <w:spacing w:before="300" w:after="140" w:line="252" w:lineRule="auto"/>
        <w:outlineLvl w:val="0"/>
        <w:rPr>
          <w:rFonts w:ascii="Calibri" w:eastAsia="MS Gothic" w:hAnsi="Calibri" w:cs="Times New Roman"/>
          <w:b/>
          <w:bCs/>
          <w:color w:val="0A3D2B"/>
          <w:kern w:val="0"/>
          <w:sz w:val="30"/>
          <w:szCs w:val="28"/>
          <w:lang w:eastAsia="en-US"/>
          <w14:ligatures w14:val="none"/>
        </w:rPr>
      </w:pPr>
      <w:r>
        <w:rPr>
          <w:rFonts w:ascii="Calibri" w:eastAsia="MS Gothic" w:hAnsi="Calibri" w:cs="Times New Roman"/>
          <w:b/>
          <w:bCs/>
          <w:color w:val="0A3D2B"/>
          <w:kern w:val="0"/>
          <w:sz w:val="30"/>
          <w:szCs w:val="28"/>
          <w:lang w:eastAsia="en-US"/>
          <w14:ligatures w14:val="none"/>
        </w:rPr>
        <w:t>7. Sensitive personal data and data of children and adolescents</w:t>
      </w:r>
    </w:p>
    <w:p w14:paraId="63249C83" w14:textId="4DE5FE42" w:rsidR="00532E5E" w:rsidRPr="00532E5E" w:rsidRDefault="00532E5E" w:rsidP="009962DB">
      <w:pPr>
        <w:spacing w:after="100" w:line="270" w:lineRule="auto"/>
        <w:jc w:val="both"/>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21"/>
          <w:szCs w:val="22"/>
          <w:lang w:eastAsia="en-US"/>
          <w14:ligatures w14:val="none"/>
        </w:rPr>
        <w:t>In certain situations, the inVista Group may receive sensitive personal data or information requiring enhanced protection, including in HR and benefits documents, unsolicited communications, whistleblower reports, investigations, due diligence, security procedures and third-party documentation. Such data will be processed only when necessary and</w:t>
      </w:r>
      <w:r w:rsidR="00C7329D">
        <w:rPr>
          <w:rFonts w:ascii="Arial" w:eastAsia="Arial" w:hAnsi="Arial" w:cs="Times New Roman"/>
          <w:color w:val="1F2933"/>
          <w:kern w:val="0"/>
          <w:sz w:val="21"/>
          <w:szCs w:val="22"/>
          <w:lang w:eastAsia="en-US"/>
          <w14:ligatures w14:val="none"/>
        </w:rPr>
        <w:t xml:space="preserve"> </w:t>
      </w:r>
      <w:r w:rsidR="00C7329D" w:rsidRPr="00C7329D">
        <w:rPr>
          <w:rFonts w:ascii="Arial" w:eastAsia="Arial" w:hAnsi="Arial" w:cs="Times New Roman"/>
          <w:color w:val="1F2933"/>
          <w:kern w:val="0"/>
          <w:sz w:val="21"/>
          <w:szCs w:val="22"/>
          <w:lang w:eastAsia="en-US"/>
          <w14:ligatures w14:val="none"/>
        </w:rPr>
        <w:t xml:space="preserve">always </w:t>
      </w:r>
      <w:proofErr w:type="gramStart"/>
      <w:r w:rsidR="00C7329D" w:rsidRPr="00C7329D">
        <w:rPr>
          <w:rFonts w:ascii="Arial" w:eastAsia="Arial" w:hAnsi="Arial" w:cs="Times New Roman"/>
          <w:color w:val="1F2933"/>
          <w:kern w:val="0"/>
          <w:sz w:val="21"/>
          <w:szCs w:val="22"/>
          <w:lang w:eastAsia="en-US"/>
          <w14:ligatures w14:val="none"/>
        </w:rPr>
        <w:t>under</w:t>
      </w:r>
      <w:proofErr w:type="gramEnd"/>
      <w:r w:rsidR="00C7329D" w:rsidRPr="00C7329D">
        <w:rPr>
          <w:rFonts w:ascii="Arial" w:eastAsia="Arial" w:hAnsi="Arial" w:cs="Times New Roman"/>
          <w:color w:val="1F2933"/>
          <w:kern w:val="0"/>
          <w:sz w:val="21"/>
          <w:szCs w:val="22"/>
          <w:lang w:eastAsia="en-US"/>
          <w14:ligatures w14:val="none"/>
        </w:rPr>
        <w:t xml:space="preserve"> an applicable legal basis</w:t>
      </w:r>
      <w:r>
        <w:rPr>
          <w:rFonts w:ascii="Arial" w:eastAsia="Arial" w:hAnsi="Arial" w:cs="Times New Roman"/>
          <w:color w:val="1F2933"/>
          <w:kern w:val="0"/>
          <w:sz w:val="21"/>
          <w:szCs w:val="22"/>
          <w:lang w:eastAsia="en-US"/>
          <w14:ligatures w14:val="none"/>
        </w:rPr>
        <w:t xml:space="preserve">, with access controls and safeguards </w:t>
      </w:r>
      <w:r w:rsidR="00C7329D">
        <w:rPr>
          <w:rFonts w:ascii="Arial" w:eastAsia="Arial" w:hAnsi="Arial" w:cs="Times New Roman"/>
          <w:color w:val="1F2933"/>
          <w:kern w:val="0"/>
          <w:sz w:val="21"/>
          <w:szCs w:val="22"/>
          <w:lang w:eastAsia="en-US"/>
          <w14:ligatures w14:val="none"/>
        </w:rPr>
        <w:t>proportionate to associate risks</w:t>
      </w:r>
      <w:r>
        <w:rPr>
          <w:rFonts w:ascii="Arial" w:eastAsia="Arial" w:hAnsi="Arial" w:cs="Times New Roman"/>
          <w:color w:val="1F2933"/>
          <w:kern w:val="0"/>
          <w:sz w:val="21"/>
          <w:szCs w:val="22"/>
          <w:lang w:eastAsia="en-US"/>
          <w14:ligatures w14:val="none"/>
        </w:rPr>
        <w:t>. Legitimate interest will not be used as a legal basis for sensitive personal data.</w:t>
      </w:r>
    </w:p>
    <w:p w14:paraId="0E9531FF" w14:textId="0B2D8F94" w:rsidR="00532E5E" w:rsidRPr="00532E5E" w:rsidRDefault="00532E5E" w:rsidP="009962DB">
      <w:pPr>
        <w:keepLines/>
        <w:spacing w:after="100" w:line="270" w:lineRule="auto"/>
        <w:jc w:val="both"/>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21"/>
          <w:szCs w:val="22"/>
          <w:lang w:eastAsia="en-US"/>
          <w14:ligatures w14:val="none"/>
        </w:rPr>
        <w:t xml:space="preserve">The activities of the inVista Group are not directed at children or adolescents. Nevertheless, </w:t>
      </w:r>
      <w:r w:rsidR="00C7329D" w:rsidRPr="00C7329D">
        <w:rPr>
          <w:rFonts w:ascii="Arial" w:eastAsia="Arial" w:hAnsi="Arial" w:cs="Times New Roman"/>
          <w:color w:val="1F2933"/>
          <w:kern w:val="0"/>
          <w:sz w:val="21"/>
          <w:szCs w:val="22"/>
          <w:lang w:eastAsia="en-US"/>
          <w14:ligatures w14:val="none"/>
        </w:rPr>
        <w:t>personal data relating to minors may be</w:t>
      </w:r>
      <w:r>
        <w:rPr>
          <w:rFonts w:ascii="Arial" w:eastAsia="Arial" w:hAnsi="Arial" w:cs="Times New Roman"/>
          <w:color w:val="1F2933"/>
          <w:kern w:val="0"/>
          <w:sz w:val="21"/>
          <w:szCs w:val="22"/>
          <w:lang w:eastAsia="en-US"/>
          <w14:ligatures w14:val="none"/>
        </w:rPr>
        <w:t xml:space="preserve"> processed incidentally, for example, in relation to employees’ dependents, property occupants, beneficiaries or documents submitted by legal representatives. In such cases, processing will </w:t>
      </w:r>
      <w:proofErr w:type="gramStart"/>
      <w:r w:rsidR="00C7329D">
        <w:rPr>
          <w:rFonts w:ascii="Arial" w:eastAsia="Arial" w:hAnsi="Arial" w:cs="Times New Roman"/>
          <w:color w:val="1F2933"/>
          <w:kern w:val="0"/>
          <w:sz w:val="21"/>
          <w:szCs w:val="22"/>
          <w:lang w:eastAsia="en-US"/>
          <w14:ligatures w14:val="none"/>
        </w:rPr>
        <w:t>carried</w:t>
      </w:r>
      <w:proofErr w:type="gramEnd"/>
      <w:r w:rsidR="00C7329D">
        <w:rPr>
          <w:rFonts w:ascii="Arial" w:eastAsia="Arial" w:hAnsi="Arial" w:cs="Times New Roman"/>
          <w:color w:val="1F2933"/>
          <w:kern w:val="0"/>
          <w:sz w:val="21"/>
          <w:szCs w:val="22"/>
          <w:lang w:eastAsia="en-US"/>
          <w14:ligatures w14:val="none"/>
        </w:rPr>
        <w:t xml:space="preserve"> out </w:t>
      </w:r>
      <w:r>
        <w:rPr>
          <w:rFonts w:ascii="Arial" w:eastAsia="Arial" w:hAnsi="Arial" w:cs="Times New Roman"/>
          <w:color w:val="1F2933"/>
          <w:kern w:val="0"/>
          <w:sz w:val="21"/>
          <w:szCs w:val="22"/>
          <w:lang w:eastAsia="en-US"/>
          <w14:ligatures w14:val="none"/>
        </w:rPr>
        <w:t>observ</w:t>
      </w:r>
      <w:r w:rsidR="00C7329D">
        <w:rPr>
          <w:rFonts w:ascii="Arial" w:eastAsia="Arial" w:hAnsi="Arial" w:cs="Times New Roman"/>
          <w:color w:val="1F2933"/>
          <w:kern w:val="0"/>
          <w:sz w:val="21"/>
          <w:szCs w:val="22"/>
          <w:lang w:eastAsia="en-US"/>
          <w14:ligatures w14:val="none"/>
        </w:rPr>
        <w:t>ing</w:t>
      </w:r>
      <w:r>
        <w:rPr>
          <w:rFonts w:ascii="Arial" w:eastAsia="Arial" w:hAnsi="Arial" w:cs="Times New Roman"/>
          <w:color w:val="1F2933"/>
          <w:kern w:val="0"/>
          <w:sz w:val="21"/>
          <w:szCs w:val="22"/>
          <w:lang w:eastAsia="en-US"/>
          <w14:ligatures w14:val="none"/>
        </w:rPr>
        <w:t xml:space="preserve"> the best interests of the child or adolescent, necessity and other applicable legal requirements.</w:t>
      </w:r>
    </w:p>
    <w:p w14:paraId="0CABC667" w14:textId="112F7970" w:rsidR="00532E5E" w:rsidRPr="00532E5E" w:rsidRDefault="006F698A" w:rsidP="00532E5E">
      <w:pPr>
        <w:keepNext/>
        <w:keepLines/>
        <w:spacing w:before="300" w:after="140" w:line="252" w:lineRule="auto"/>
        <w:outlineLvl w:val="0"/>
        <w:rPr>
          <w:rFonts w:ascii="Calibri" w:eastAsia="MS Gothic" w:hAnsi="Calibri" w:cs="Times New Roman"/>
          <w:b/>
          <w:bCs/>
          <w:color w:val="0A3D2B"/>
          <w:kern w:val="0"/>
          <w:sz w:val="30"/>
          <w:szCs w:val="28"/>
          <w:lang w:eastAsia="en-US"/>
          <w14:ligatures w14:val="none"/>
        </w:rPr>
      </w:pPr>
      <w:r>
        <w:rPr>
          <w:rFonts w:ascii="Calibri" w:eastAsia="MS Gothic" w:hAnsi="Calibri" w:cs="Times New Roman"/>
          <w:b/>
          <w:bCs/>
          <w:color w:val="0A3D2B"/>
          <w:kern w:val="0"/>
          <w:sz w:val="30"/>
          <w:szCs w:val="28"/>
          <w:lang w:eastAsia="en-US"/>
          <w14:ligatures w14:val="none"/>
        </w:rPr>
        <w:t>8. Cookies and similar technologies</w:t>
      </w:r>
    </w:p>
    <w:p w14:paraId="34E70AD3" w14:textId="77777777" w:rsidR="00532E5E" w:rsidRPr="00532E5E" w:rsidRDefault="00532E5E" w:rsidP="009962DB">
      <w:pPr>
        <w:spacing w:after="100" w:line="270" w:lineRule="auto"/>
        <w:jc w:val="both"/>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21"/>
          <w:szCs w:val="22"/>
          <w:lang w:eastAsia="en-US"/>
          <w14:ligatures w14:val="none"/>
        </w:rPr>
        <w:t xml:space="preserve">The institutional website is maintained on the Webflow platform and uses integrations and tags related to HubSpot. Cookies and similar technologies may be used to enable essential functionalities, protect the </w:t>
      </w:r>
      <w:r>
        <w:rPr>
          <w:rFonts w:ascii="Arial" w:eastAsia="Arial" w:hAnsi="Arial" w:cs="Times New Roman"/>
          <w:color w:val="1F2933"/>
          <w:kern w:val="0"/>
          <w:sz w:val="21"/>
          <w:szCs w:val="22"/>
          <w:lang w:eastAsia="en-US"/>
          <w14:ligatures w14:val="none"/>
        </w:rPr>
        <w:lastRenderedPageBreak/>
        <w:t>environment, receive forms, understand browsing, measure performance, personalize content and, potentially, support advertising.</w:t>
      </w:r>
    </w:p>
    <w:p w14:paraId="1E971D57" w14:textId="77777777" w:rsidR="00532E5E" w:rsidRPr="00532E5E" w:rsidRDefault="00532E5E" w:rsidP="009962DB">
      <w:pPr>
        <w:spacing w:after="100" w:line="270" w:lineRule="auto"/>
        <w:jc w:val="both"/>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21"/>
          <w:szCs w:val="22"/>
          <w:lang w:eastAsia="en-US"/>
          <w14:ligatures w14:val="none"/>
        </w:rPr>
        <w:t>Non-essential cookies and technologies that depend on consent should only be activated after an affirmative choice by the user. The user may accept, reject or configure these categories and subsequently change their preferences through the management mechanism made available on the website. Detailed information on categories, providers, purposes and duration will be presented in the Cookie Policy.</w:t>
      </w:r>
    </w:p>
    <w:p w14:paraId="264D6088" w14:textId="7655D3A9" w:rsidR="00532E5E" w:rsidRPr="00532E5E" w:rsidRDefault="00FF7358" w:rsidP="00532E5E">
      <w:pPr>
        <w:keepNext/>
        <w:keepLines/>
        <w:spacing w:before="300" w:after="140" w:line="252" w:lineRule="auto"/>
        <w:outlineLvl w:val="0"/>
        <w:rPr>
          <w:rFonts w:ascii="Calibri" w:eastAsia="MS Gothic" w:hAnsi="Calibri" w:cs="Times New Roman"/>
          <w:b/>
          <w:bCs/>
          <w:color w:val="0A3D2B"/>
          <w:kern w:val="0"/>
          <w:sz w:val="30"/>
          <w:szCs w:val="28"/>
          <w:lang w:eastAsia="en-US"/>
          <w14:ligatures w14:val="none"/>
        </w:rPr>
      </w:pPr>
      <w:r>
        <w:rPr>
          <w:rFonts w:ascii="Calibri" w:eastAsia="MS Gothic" w:hAnsi="Calibri" w:cs="Times New Roman"/>
          <w:b/>
          <w:bCs/>
          <w:color w:val="0A3D2B"/>
          <w:kern w:val="0"/>
          <w:sz w:val="30"/>
          <w:szCs w:val="28"/>
          <w:lang w:eastAsia="en-US"/>
          <w14:ligatures w14:val="none"/>
        </w:rPr>
        <w:t>9. Where data is stored</w:t>
      </w:r>
    </w:p>
    <w:p w14:paraId="017D17A7" w14:textId="77777777" w:rsidR="00532E5E" w:rsidRPr="00532E5E" w:rsidRDefault="00532E5E" w:rsidP="00532E5E">
      <w:pPr>
        <w:spacing w:after="100" w:line="270"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21"/>
          <w:szCs w:val="22"/>
          <w:lang w:eastAsia="en-US"/>
          <w14:ligatures w14:val="none"/>
        </w:rPr>
        <w:t>Personal data may flow through or remain in physical and digital environments, depending on the purpose and the applicable permissions. The systems and environments currently in use include:</w:t>
      </w:r>
    </w:p>
    <w:p w14:paraId="370117C4"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HubSpot, for website forms, CRM, relationship management and communications;</w:t>
      </w:r>
    </w:p>
    <w:p w14:paraId="7FA607CE" w14:textId="5C2E4C7D" w:rsidR="01AB9BD3" w:rsidRDefault="01AB9BD3" w:rsidP="37EE27D9">
      <w:pPr>
        <w:numPr>
          <w:ilvl w:val="0"/>
          <w:numId w:val="1"/>
        </w:numPr>
        <w:jc w:val="both"/>
        <w:rPr>
          <w:rFonts w:ascii="Arial" w:eastAsia="Arial" w:hAnsi="Arial" w:cs="Arial"/>
          <w:sz w:val="21"/>
          <w:szCs w:val="21"/>
        </w:rPr>
      </w:pPr>
      <w:r>
        <w:rPr>
          <w:rFonts w:ascii="Arial" w:eastAsia="Arial" w:hAnsi="Arial" w:cs="Arial"/>
          <w:color w:val="1F2933"/>
          <w:sz w:val="21"/>
          <w:szCs w:val="21"/>
        </w:rPr>
        <w:t>WhatsApp Business/Meta;</w:t>
      </w:r>
    </w:p>
    <w:p w14:paraId="3FF99997"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Microsoft 365, Outlook and other corporate e-mail, calendar, collaboration and cloud storage tools;</w:t>
      </w:r>
    </w:p>
    <w:p w14:paraId="6585FD8F"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LiveFacilities, for property management activities;</w:t>
      </w:r>
    </w:p>
    <w:p w14:paraId="605D50A2"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Monday, during the remaining period of use and the migration or decommissioning of the tool;</w:t>
      </w:r>
    </w:p>
    <w:p w14:paraId="76EB3017"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Apex SFTP and Vórtx API, for receiving or consulting fund-related data;</w:t>
      </w:r>
    </w:p>
    <w:p w14:paraId="37A0C902"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Webflow, as the institutional website platform;</w:t>
      </w:r>
    </w:p>
    <w:p w14:paraId="2E4C25B9"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portals and systems of fiduciary administrators, distributors, custodians, bookkeeping agents, banks, auditors, authorities and other participants;</w:t>
      </w:r>
    </w:p>
    <w:p w14:paraId="3A4FF570"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data rooms, e-signature tools, and security, accounting, finance, human resources, customer service and service provider management solutions; and</w:t>
      </w:r>
    </w:p>
    <w:p w14:paraId="28878B40"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servers, networks, devices, corporate folders, backup copies and physical or electronic documents.</w:t>
      </w:r>
    </w:p>
    <w:p w14:paraId="72F5ED9D" w14:textId="54B11356" w:rsidR="00532E5E" w:rsidRPr="00532E5E" w:rsidRDefault="00532E5E" w:rsidP="00532E5E">
      <w:pPr>
        <w:keepNext/>
        <w:keepLines/>
        <w:spacing w:before="300" w:after="140" w:line="252" w:lineRule="auto"/>
        <w:outlineLvl w:val="0"/>
        <w:rPr>
          <w:rFonts w:ascii="Calibri" w:eastAsia="MS Gothic" w:hAnsi="Calibri" w:cs="Times New Roman"/>
          <w:b/>
          <w:bCs/>
          <w:color w:val="0A3D2B"/>
          <w:kern w:val="0"/>
          <w:sz w:val="30"/>
          <w:szCs w:val="28"/>
          <w:lang w:eastAsia="en-US"/>
          <w14:ligatures w14:val="none"/>
        </w:rPr>
      </w:pPr>
      <w:r>
        <w:rPr>
          <w:rFonts w:ascii="Calibri" w:eastAsia="MS Gothic" w:hAnsi="Calibri" w:cs="Times New Roman"/>
          <w:b/>
          <w:bCs/>
          <w:color w:val="0A3D2B"/>
          <w:kern w:val="0"/>
          <w:sz w:val="30"/>
          <w:szCs w:val="28"/>
          <w:lang w:eastAsia="en-US"/>
          <w14:ligatures w14:val="none"/>
        </w:rPr>
        <w:t>10. With whom we may share data</w:t>
      </w:r>
    </w:p>
    <w:p w14:paraId="5FA9984B" w14:textId="77777777" w:rsidR="00532E5E" w:rsidRDefault="00532E5E" w:rsidP="00532E5E">
      <w:pPr>
        <w:spacing w:after="100" w:line="270" w:lineRule="auto"/>
        <w:rPr>
          <w:rFonts w:ascii="Arial" w:eastAsia="Arial" w:hAnsi="Arial" w:cs="Times New Roman"/>
          <w:color w:val="1F2933"/>
          <w:kern w:val="0"/>
          <w:sz w:val="21"/>
          <w:szCs w:val="22"/>
          <w:lang w:eastAsia="en-US"/>
          <w14:ligatures w14:val="none"/>
        </w:rPr>
      </w:pPr>
      <w:r>
        <w:rPr>
          <w:rFonts w:ascii="Arial" w:eastAsia="Arial" w:hAnsi="Arial" w:cs="Times New Roman"/>
          <w:color w:val="1F2933"/>
          <w:kern w:val="0"/>
          <w:sz w:val="21"/>
          <w:szCs w:val="22"/>
          <w:lang w:eastAsia="en-US"/>
          <w14:ligatures w14:val="none"/>
        </w:rPr>
        <w:t>Data may be shared, to the extent necessary for each purpose, with:</w:t>
      </w:r>
    </w:p>
    <w:p w14:paraId="0844639F"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inVista Group companies, funds, classes, investee companies and related vehicles;</w:t>
      </w:r>
    </w:p>
    <w:p w14:paraId="42AE6D3B"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fiduciary administrators, distributors, bookkeeping agents, custodians, banks, brokerage firms, depositaries, market infrastructures, auditors and other service providers to funds, vehicles and offerings;</w:t>
      </w:r>
    </w:p>
    <w:p w14:paraId="38A13931" w14:textId="34E16586" w:rsidR="00532E5E" w:rsidRPr="00532E5E" w:rsidRDefault="00532E5E" w:rsidP="37EE27D9">
      <w:pPr>
        <w:numPr>
          <w:ilvl w:val="0"/>
          <w:numId w:val="1"/>
        </w:numPr>
        <w:jc w:val="both"/>
        <w:rPr>
          <w:rFonts w:ascii="Arial" w:eastAsia="Arial" w:hAnsi="Arial" w:cs="Arial"/>
          <w:kern w:val="0"/>
          <w:sz w:val="21"/>
          <w:szCs w:val="21"/>
          <w14:ligatures w14:val="none"/>
        </w:rPr>
      </w:pPr>
      <w:r>
        <w:rPr>
          <w:rFonts w:ascii="Arial" w:eastAsia="Arial" w:hAnsi="Arial" w:cs="Times New Roman"/>
          <w:color w:val="1F2933"/>
          <w:kern w:val="0"/>
          <w:sz w:val="21"/>
          <w:szCs w:val="21"/>
          <w:lang w:eastAsia="en-US"/>
          <w14:ligatures w14:val="none"/>
        </w:rPr>
        <w:t xml:space="preserve">technology and operations providers, including hosting, CRM, cloud, e-mail, </w:t>
      </w:r>
      <w:r>
        <w:rPr>
          <w:rFonts w:ascii="Arial" w:eastAsia="Arial" w:hAnsi="Arial" w:cs="Arial"/>
          <w:color w:val="1F2933"/>
          <w:sz w:val="21"/>
          <w:szCs w:val="21"/>
        </w:rPr>
        <w:t xml:space="preserve">communication and messaging solutions, </w:t>
      </w:r>
      <w:r>
        <w:rPr>
          <w:rFonts w:ascii="Arial" w:eastAsia="Arial" w:hAnsi="Arial" w:cs="Times New Roman"/>
          <w:color w:val="1F2933"/>
          <w:sz w:val="21"/>
          <w:szCs w:val="21"/>
          <w:lang w:eastAsia="en-US"/>
        </w:rPr>
        <w:t xml:space="preserve">storage, backup, cybersecurity, e-signature, data room, support and telecommunications; </w:t>
      </w:r>
    </w:p>
    <w:p w14:paraId="1C1BCE97"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lawyers, accountants, auditors, and compliance, AML/CFT, risk, investigation, technology, recruitment, benefits and administrative services consultants;</w:t>
      </w:r>
    </w:p>
    <w:p w14:paraId="71D13CC3"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sellers, buyers, landlords, tenants, guarantors, brokers, appraisers, engineers, insurers, notary and registry offices, commercial registries, lenders, co-investors and potential counterparties;</w:t>
      </w:r>
    </w:p>
    <w:p w14:paraId="0314F0BE"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lastRenderedPageBreak/>
        <w:t>the CVM, ANBIMA, B3, COAF (Brazilian Financial Intelligence Unit) where applicable, the Brazilian Federal Revenue Service, the Central Bank of Brazil, the Judiciary, police and tax authorities and other competent bodies; and</w:t>
      </w:r>
    </w:p>
    <w:p w14:paraId="5694DA30" w14:textId="77777777" w:rsidR="009962DB"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potential buyers, investors, lenders and advisors in reorganizations, investments, mergers, acquisitions or asset transfers, subject to confidentiality and data minimization safeguards.</w:t>
      </w:r>
    </w:p>
    <w:p w14:paraId="73EEDAA4" w14:textId="77777777" w:rsidR="009962DB" w:rsidRDefault="009962DB" w:rsidP="009962DB">
      <w:pPr>
        <w:spacing w:after="60" w:line="270" w:lineRule="auto"/>
        <w:jc w:val="both"/>
        <w:rPr>
          <w:rFonts w:ascii="Arial" w:eastAsia="MS Mincho" w:hAnsi="Arial" w:cs="Times New Roman"/>
          <w:color w:val="1F2933"/>
          <w:kern w:val="0"/>
          <w:sz w:val="21"/>
          <w:szCs w:val="22"/>
          <w:lang w:eastAsia="en-US"/>
          <w14:ligatures w14:val="none"/>
        </w:rPr>
      </w:pPr>
    </w:p>
    <w:p w14:paraId="03B98926" w14:textId="27835209" w:rsidR="00532E5E" w:rsidRPr="009962DB" w:rsidRDefault="009962DB" w:rsidP="009962DB">
      <w:pPr>
        <w:spacing w:after="60" w:line="270" w:lineRule="auto"/>
        <w:jc w:val="both"/>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21"/>
          <w:szCs w:val="22"/>
          <w:lang w:eastAsia="en-US"/>
          <w14:ligatures w14:val="none"/>
        </w:rPr>
        <w:t>Service providers that process data in accordance with the Group’s instructions must observe confidentiality, security and data protection duties. Some recipients, however, have their own obligations and may act as independent controllers, especially authorities, financial institutions, administrators, distributors and other regulated participants.</w:t>
      </w:r>
    </w:p>
    <w:p w14:paraId="7FCF1CDD" w14:textId="2E7F04A5" w:rsidR="00532E5E" w:rsidRPr="00532E5E" w:rsidRDefault="00532E5E" w:rsidP="00532E5E">
      <w:pPr>
        <w:keepNext/>
        <w:keepLines/>
        <w:spacing w:before="300" w:after="140" w:line="252" w:lineRule="auto"/>
        <w:outlineLvl w:val="0"/>
        <w:rPr>
          <w:rFonts w:ascii="Calibri" w:eastAsia="MS Gothic" w:hAnsi="Calibri" w:cs="Times New Roman"/>
          <w:b/>
          <w:bCs/>
          <w:color w:val="0A3D2B"/>
          <w:kern w:val="0"/>
          <w:sz w:val="30"/>
          <w:szCs w:val="28"/>
          <w:lang w:eastAsia="en-US"/>
          <w14:ligatures w14:val="none"/>
        </w:rPr>
      </w:pPr>
      <w:r>
        <w:rPr>
          <w:rFonts w:ascii="Calibri" w:eastAsia="MS Gothic" w:hAnsi="Calibri" w:cs="Times New Roman"/>
          <w:b/>
          <w:bCs/>
          <w:color w:val="0A3D2B"/>
          <w:kern w:val="0"/>
          <w:sz w:val="30"/>
          <w:szCs w:val="28"/>
          <w:lang w:eastAsia="en-US"/>
          <w14:ligatures w14:val="none"/>
        </w:rPr>
        <w:t>11. International transfers</w:t>
      </w:r>
    </w:p>
    <w:p w14:paraId="479354FA" w14:textId="77777777" w:rsidR="00532E5E" w:rsidRPr="00532E5E" w:rsidRDefault="00532E5E" w:rsidP="009962DB">
      <w:pPr>
        <w:spacing w:after="100" w:line="270" w:lineRule="auto"/>
        <w:jc w:val="both"/>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21"/>
          <w:szCs w:val="22"/>
          <w:lang w:eastAsia="en-US"/>
          <w14:ligatures w14:val="none"/>
        </w:rPr>
        <w:t>The inVista Group operates through international structures and investments and uses global suppliers. For this reason, personal data may be stored, processed or accessed outside Brazil, including in the United States, the Cayman Islands, the British Virgin Islands, New Zealand and other locations where technology providers, Group companies, vehicles, managers, banks, auditors, advisors or counterparties are established.</w:t>
      </w:r>
    </w:p>
    <w:p w14:paraId="7A2FDD0C" w14:textId="7BBCFE14" w:rsidR="00532E5E" w:rsidRPr="00532E5E" w:rsidRDefault="00532E5E" w:rsidP="009962DB">
      <w:pPr>
        <w:spacing w:after="100" w:line="270" w:lineRule="auto"/>
        <w:jc w:val="both"/>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21"/>
          <w:szCs w:val="22"/>
          <w:lang w:eastAsia="en-US"/>
          <w14:ligatures w14:val="none"/>
        </w:rPr>
        <w:t xml:space="preserve">International transfers will be carried out in </w:t>
      </w:r>
      <w:r w:rsidR="008623A0">
        <w:rPr>
          <w:rFonts w:ascii="Arial" w:eastAsia="Arial" w:hAnsi="Arial" w:cs="Times New Roman"/>
          <w:color w:val="1F2933"/>
          <w:kern w:val="0"/>
          <w:sz w:val="21"/>
          <w:szCs w:val="22"/>
          <w:lang w:eastAsia="en-US"/>
          <w14:ligatures w14:val="none"/>
        </w:rPr>
        <w:t xml:space="preserve">situations </w:t>
      </w:r>
      <w:r>
        <w:rPr>
          <w:rFonts w:ascii="Arial" w:eastAsia="Arial" w:hAnsi="Arial" w:cs="Times New Roman"/>
          <w:color w:val="1F2933"/>
          <w:kern w:val="0"/>
          <w:sz w:val="21"/>
          <w:szCs w:val="22"/>
          <w:lang w:eastAsia="en-US"/>
          <w14:ligatures w14:val="none"/>
        </w:rPr>
        <w:t xml:space="preserve">authorized by the LGPD and </w:t>
      </w:r>
      <w:r w:rsidR="008623A0">
        <w:rPr>
          <w:rFonts w:ascii="Arial" w:eastAsia="Arial" w:hAnsi="Arial" w:cs="Times New Roman"/>
          <w:color w:val="1F2933"/>
          <w:kern w:val="0"/>
          <w:sz w:val="21"/>
          <w:szCs w:val="22"/>
          <w:lang w:eastAsia="en-US"/>
          <w14:ligatures w14:val="none"/>
        </w:rPr>
        <w:t xml:space="preserve">in accordance with </w:t>
      </w:r>
      <w:r>
        <w:rPr>
          <w:rFonts w:ascii="Arial" w:eastAsia="Arial" w:hAnsi="Arial" w:cs="Times New Roman"/>
          <w:color w:val="1F2933"/>
          <w:kern w:val="0"/>
          <w:sz w:val="21"/>
          <w:szCs w:val="22"/>
          <w:lang w:eastAsia="en-US"/>
          <w14:ligatures w14:val="none"/>
        </w:rPr>
        <w:t>the ANPD regulations,</w:t>
      </w:r>
      <w:r w:rsidR="008623A0">
        <w:rPr>
          <w:rFonts w:ascii="Arial" w:eastAsia="Arial" w:hAnsi="Arial" w:cs="Times New Roman"/>
          <w:color w:val="1F2933"/>
          <w:kern w:val="0"/>
          <w:sz w:val="21"/>
          <w:szCs w:val="22"/>
          <w:lang w:eastAsia="en-US"/>
          <w14:ligatures w14:val="none"/>
        </w:rPr>
        <w:t xml:space="preserve"> </w:t>
      </w:r>
      <w:r>
        <w:rPr>
          <w:rFonts w:ascii="Arial" w:eastAsia="Arial" w:hAnsi="Arial" w:cs="Times New Roman"/>
          <w:color w:val="1F2933"/>
          <w:kern w:val="0"/>
          <w:sz w:val="21"/>
          <w:szCs w:val="22"/>
          <w:lang w:eastAsia="en-US"/>
          <w14:ligatures w14:val="none"/>
        </w:rPr>
        <w:t xml:space="preserve">with the adoption of the safeguards applicable to each case, which may include adequacy decisions, standard contractual clauses, approved specific clauses, global corporate rules or other legally permitted mechanisms. The </w:t>
      </w:r>
      <w:proofErr w:type="spellStart"/>
      <w:r w:rsidR="008623A0">
        <w:rPr>
          <w:rFonts w:ascii="Arial" w:eastAsia="Arial" w:hAnsi="Arial" w:cs="Times New Roman"/>
          <w:color w:val="1F2933"/>
          <w:kern w:val="0"/>
          <w:sz w:val="21"/>
          <w:szCs w:val="22"/>
          <w:lang w:eastAsia="en-US"/>
          <w14:ligatures w14:val="none"/>
        </w:rPr>
        <w:t>inVista</w:t>
      </w:r>
      <w:proofErr w:type="spellEnd"/>
      <w:r w:rsidR="008623A0">
        <w:rPr>
          <w:rFonts w:ascii="Arial" w:eastAsia="Arial" w:hAnsi="Arial" w:cs="Times New Roman"/>
          <w:color w:val="1F2933"/>
          <w:kern w:val="0"/>
          <w:sz w:val="21"/>
          <w:szCs w:val="22"/>
          <w:lang w:eastAsia="en-US"/>
          <w14:ligatures w14:val="none"/>
        </w:rPr>
        <w:t xml:space="preserve"> </w:t>
      </w:r>
      <w:r>
        <w:rPr>
          <w:rFonts w:ascii="Arial" w:eastAsia="Arial" w:hAnsi="Arial" w:cs="Times New Roman"/>
          <w:color w:val="1F2933"/>
          <w:kern w:val="0"/>
          <w:sz w:val="21"/>
          <w:szCs w:val="22"/>
          <w:lang w:eastAsia="en-US"/>
          <w14:ligatures w14:val="none"/>
        </w:rPr>
        <w:t>Group will seek to ensure transparency, protection of data subjects’ rights and security measures commensurate with the processing carried out.</w:t>
      </w:r>
    </w:p>
    <w:p w14:paraId="19401A96" w14:textId="6B066C0D" w:rsidR="00532E5E" w:rsidRPr="00532E5E" w:rsidRDefault="00532E5E" w:rsidP="00532E5E">
      <w:pPr>
        <w:keepNext/>
        <w:keepLines/>
        <w:spacing w:before="300" w:after="140" w:line="252" w:lineRule="auto"/>
        <w:outlineLvl w:val="0"/>
        <w:rPr>
          <w:rFonts w:ascii="Calibri" w:eastAsia="MS Gothic" w:hAnsi="Calibri" w:cs="Times New Roman"/>
          <w:b/>
          <w:bCs/>
          <w:color w:val="0A3D2B"/>
          <w:kern w:val="0"/>
          <w:sz w:val="30"/>
          <w:szCs w:val="28"/>
          <w:lang w:eastAsia="en-US"/>
          <w14:ligatures w14:val="none"/>
        </w:rPr>
      </w:pPr>
      <w:r>
        <w:rPr>
          <w:rFonts w:ascii="Calibri" w:eastAsia="MS Gothic" w:hAnsi="Calibri" w:cs="Times New Roman"/>
          <w:b/>
          <w:bCs/>
          <w:color w:val="0A3D2B"/>
          <w:kern w:val="0"/>
          <w:sz w:val="30"/>
          <w:szCs w:val="28"/>
          <w:lang w:eastAsia="en-US"/>
          <w14:ligatures w14:val="none"/>
        </w:rPr>
        <w:t xml:space="preserve">12. How long </w:t>
      </w:r>
      <w:proofErr w:type="gramStart"/>
      <w:r>
        <w:rPr>
          <w:rFonts w:ascii="Calibri" w:eastAsia="MS Gothic" w:hAnsi="Calibri" w:cs="Times New Roman"/>
          <w:b/>
          <w:bCs/>
          <w:color w:val="0A3D2B"/>
          <w:kern w:val="0"/>
          <w:sz w:val="30"/>
          <w:szCs w:val="28"/>
          <w:lang w:eastAsia="en-US"/>
          <w14:ligatures w14:val="none"/>
        </w:rPr>
        <w:t>we</w:t>
      </w:r>
      <w:proofErr w:type="gramEnd"/>
      <w:r>
        <w:rPr>
          <w:rFonts w:ascii="Calibri" w:eastAsia="MS Gothic" w:hAnsi="Calibri" w:cs="Times New Roman"/>
          <w:b/>
          <w:bCs/>
          <w:color w:val="0A3D2B"/>
          <w:kern w:val="0"/>
          <w:sz w:val="30"/>
          <w:szCs w:val="28"/>
          <w:lang w:eastAsia="en-US"/>
          <w14:ligatures w14:val="none"/>
        </w:rPr>
        <w:t xml:space="preserve"> retain data</w:t>
      </w:r>
    </w:p>
    <w:p w14:paraId="4B489E52" w14:textId="77777777" w:rsidR="00532E5E" w:rsidRPr="00532E5E" w:rsidRDefault="00532E5E" w:rsidP="009962DB">
      <w:pPr>
        <w:spacing w:after="100" w:line="270" w:lineRule="auto"/>
        <w:jc w:val="both"/>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21"/>
          <w:szCs w:val="22"/>
          <w:lang w:eastAsia="en-US"/>
          <w14:ligatures w14:val="none"/>
        </w:rPr>
        <w:t xml:space="preserve">Data will be retained for as long as necessary for the purposes that justified its collection and, thereafter, for the periods required or permitted by law, regulation, contracts or the need for the regular exercise of rights. As a general reference provided by the Group, a period of five years after the termination of the relationship, transaction or service may be </w:t>
      </w:r>
      <w:proofErr w:type="gramStart"/>
      <w:r>
        <w:rPr>
          <w:rFonts w:ascii="Arial" w:eastAsia="Arial" w:hAnsi="Arial" w:cs="Times New Roman"/>
          <w:color w:val="1F2933"/>
          <w:kern w:val="0"/>
          <w:sz w:val="21"/>
          <w:szCs w:val="22"/>
          <w:lang w:eastAsia="en-US"/>
          <w14:ligatures w14:val="none"/>
        </w:rPr>
        <w:t>adopted,</w:t>
      </w:r>
      <w:proofErr w:type="gramEnd"/>
      <w:r>
        <w:rPr>
          <w:rFonts w:ascii="Arial" w:eastAsia="Arial" w:hAnsi="Arial" w:cs="Times New Roman"/>
          <w:color w:val="1F2933"/>
          <w:kern w:val="0"/>
          <w:sz w:val="21"/>
          <w:szCs w:val="22"/>
          <w:lang w:eastAsia="en-US"/>
          <w14:ligatures w14:val="none"/>
        </w:rPr>
        <w:t xml:space="preserve"> without prejudice to specific shorter or longer periods.</w:t>
      </w:r>
    </w:p>
    <w:p w14:paraId="3BEE819D"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investor, fund, suitability, KYC and AML/CFT data may be retained during the relationship and for at least five years after its termination, or for a longer period when required;</w:t>
      </w:r>
    </w:p>
    <w:p w14:paraId="47EF24FF"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data relating to contracts, consulting and real estate transactions may be retained during their performance and for the applicable tax, corporate, registry, statute of limitations and liability periods;</w:t>
      </w:r>
    </w:p>
    <w:p w14:paraId="3C6B36FC"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data of employees, job applicants and service providers may be retained during the process or relationship and, thereafter, for the period necessary to comply with obligations and defend rights, subject to the general five-year reference where applicable;</w:t>
      </w:r>
    </w:p>
    <w:p w14:paraId="78292E0C"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marketing data will be retained for as long as there is a relationship, an applicable legitimate interest or valid consent, until objection, unsubscription or withdrawal; a minimal record may be retained to evidence and respect the data subject’s choice;</w:t>
      </w:r>
    </w:p>
    <w:p w14:paraId="5ED86DA8"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logs, security data, whistleblower reports, investigations, litigation and inspections may be retained for the period necessary for investigation, preservation of evidence, security and compliance with orders; and</w:t>
      </w:r>
    </w:p>
    <w:p w14:paraId="2FF3A411"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proofErr w:type="gramStart"/>
      <w:r>
        <w:rPr>
          <w:rFonts w:ascii="Arial" w:eastAsia="Arial" w:hAnsi="Arial" w:cs="Times New Roman"/>
          <w:color w:val="1F2933"/>
          <w:kern w:val="0"/>
          <w:sz w:val="21"/>
          <w:szCs w:val="21"/>
          <w:lang w:eastAsia="en-US"/>
          <w14:ligatures w14:val="none"/>
        </w:rPr>
        <w:t>cookies</w:t>
      </w:r>
      <w:proofErr w:type="gramEnd"/>
      <w:r>
        <w:rPr>
          <w:rFonts w:ascii="Arial" w:eastAsia="Arial" w:hAnsi="Arial" w:cs="Times New Roman"/>
          <w:color w:val="1F2933"/>
          <w:kern w:val="0"/>
          <w:sz w:val="21"/>
          <w:szCs w:val="21"/>
          <w:lang w:eastAsia="en-US"/>
          <w14:ligatures w14:val="none"/>
        </w:rPr>
        <w:t xml:space="preserve"> will follow the periods described in the Cookie Policy and in the settings made available to the user.</w:t>
      </w:r>
    </w:p>
    <w:p w14:paraId="30E9F871" w14:textId="77777777" w:rsidR="00532E5E" w:rsidRPr="00532E5E" w:rsidRDefault="00532E5E" w:rsidP="009962DB">
      <w:pPr>
        <w:spacing w:after="100" w:line="270" w:lineRule="auto"/>
        <w:jc w:val="both"/>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21"/>
          <w:szCs w:val="22"/>
          <w:lang w:eastAsia="en-US"/>
          <w14:ligatures w14:val="none"/>
        </w:rPr>
        <w:lastRenderedPageBreak/>
        <w:t xml:space="preserve">At the end of the applicable period, data will be deleted, anonymized or retained in the cases permitted by the LGPD, </w:t>
      </w:r>
      <w:proofErr w:type="gramStart"/>
      <w:r>
        <w:rPr>
          <w:rFonts w:ascii="Arial" w:eastAsia="Arial" w:hAnsi="Arial" w:cs="Times New Roman"/>
          <w:color w:val="1F2933"/>
          <w:kern w:val="0"/>
          <w:sz w:val="21"/>
          <w:szCs w:val="22"/>
          <w:lang w:eastAsia="en-US"/>
          <w14:ligatures w14:val="none"/>
        </w:rPr>
        <w:t>taking into account</w:t>
      </w:r>
      <w:proofErr w:type="gramEnd"/>
      <w:r>
        <w:rPr>
          <w:rFonts w:ascii="Arial" w:eastAsia="Arial" w:hAnsi="Arial" w:cs="Times New Roman"/>
          <w:color w:val="1F2933"/>
          <w:kern w:val="0"/>
          <w:sz w:val="21"/>
          <w:szCs w:val="22"/>
          <w:lang w:eastAsia="en-US"/>
          <w14:ligatures w14:val="none"/>
        </w:rPr>
        <w:t xml:space="preserve"> technical limitations and backup cycles.</w:t>
      </w:r>
    </w:p>
    <w:p w14:paraId="1AECDFD8" w14:textId="7DBEF4F7" w:rsidR="00532E5E" w:rsidRPr="00532E5E" w:rsidRDefault="00532E5E" w:rsidP="00532E5E">
      <w:pPr>
        <w:keepNext/>
        <w:keepLines/>
        <w:spacing w:before="300" w:after="140" w:line="252" w:lineRule="auto"/>
        <w:outlineLvl w:val="0"/>
        <w:rPr>
          <w:rFonts w:ascii="Calibri" w:eastAsia="MS Gothic" w:hAnsi="Calibri" w:cs="Times New Roman"/>
          <w:b/>
          <w:bCs/>
          <w:color w:val="0A3D2B"/>
          <w:kern w:val="0"/>
          <w:sz w:val="30"/>
          <w:szCs w:val="28"/>
          <w:lang w:eastAsia="en-US"/>
          <w14:ligatures w14:val="none"/>
        </w:rPr>
      </w:pPr>
      <w:r>
        <w:rPr>
          <w:rFonts w:ascii="Calibri" w:eastAsia="MS Gothic" w:hAnsi="Calibri" w:cs="Times New Roman"/>
          <w:b/>
          <w:bCs/>
          <w:color w:val="0A3D2B"/>
          <w:kern w:val="0"/>
          <w:sz w:val="30"/>
          <w:szCs w:val="28"/>
          <w:lang w:eastAsia="en-US"/>
          <w14:ligatures w14:val="none"/>
        </w:rPr>
        <w:t>13. How we protect data</w:t>
      </w:r>
    </w:p>
    <w:p w14:paraId="0C541E50" w14:textId="77777777" w:rsidR="00532E5E" w:rsidRPr="00532E5E" w:rsidRDefault="00532E5E" w:rsidP="00D57C97">
      <w:pPr>
        <w:spacing w:after="100" w:line="270" w:lineRule="auto"/>
        <w:jc w:val="both"/>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21"/>
          <w:szCs w:val="22"/>
          <w:lang w:eastAsia="en-US"/>
          <w14:ligatures w14:val="none"/>
        </w:rPr>
        <w:t>The inVista Group adopts technical and administrative measures commensurate with its structure, its activities and the risks involved. In accordance with the Confidentiality, Information Security, Cybersecurity and LGPD Policy, these measures include, as applicable:</w:t>
      </w:r>
    </w:p>
    <w:p w14:paraId="121BA96C"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restriction of access to authorized persons, physical and logical segregation, and cancellation of credentials upon termination or change of role;</w:t>
      </w:r>
    </w:p>
    <w:p w14:paraId="4A3F5D37"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password and encryption protection of devices, protection of wireless networks and controls over privileged resources and accounts;</w:t>
      </w:r>
    </w:p>
    <w:p w14:paraId="7BE7DDAB"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cloud storage, periodic backups, business continuity and recovery mechanisms;</w:t>
      </w:r>
    </w:p>
    <w:p w14:paraId="092FEF65"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monitoring of access and corporate resources, and incident identification and response, under the supervision of the Compliance and AML Director;</w:t>
      </w:r>
    </w:p>
    <w:p w14:paraId="0EFFBC5A"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confidentiality duties, rules for the use of e-mail, systems, devices and remote work, as well as training when necessary;</w:t>
      </w:r>
    </w:p>
    <w:p w14:paraId="03E98731"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secure disposal of physical documents and protection of information classified as confidential; and</w:t>
      </w:r>
    </w:p>
    <w:p w14:paraId="30F402A6"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periodic testing of adherence to controls, at intervals not exceeding one year.</w:t>
      </w:r>
    </w:p>
    <w:p w14:paraId="1C16555A" w14:textId="77777777" w:rsidR="00532E5E" w:rsidRPr="00532E5E" w:rsidRDefault="00532E5E" w:rsidP="00D57C97">
      <w:pPr>
        <w:spacing w:after="100" w:line="270" w:lineRule="auto"/>
        <w:jc w:val="both"/>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21"/>
          <w:szCs w:val="22"/>
          <w:lang w:eastAsia="en-US"/>
          <w14:ligatures w14:val="none"/>
        </w:rPr>
        <w:t>Although reasonable efforts are made to protect data, no environment is completely free of risk. In the event of an incident that may result in relevant risk or damage, the containment, investigation and notification measures required by applicable law and regulations will be adopted.</w:t>
      </w:r>
    </w:p>
    <w:p w14:paraId="1FD51645" w14:textId="7F3BE7A0" w:rsidR="00532E5E" w:rsidRPr="00532E5E" w:rsidRDefault="00532E5E" w:rsidP="00D57C97">
      <w:pPr>
        <w:keepNext/>
        <w:keepLines/>
        <w:spacing w:before="300" w:after="140" w:line="252" w:lineRule="auto"/>
        <w:jc w:val="both"/>
        <w:outlineLvl w:val="0"/>
        <w:rPr>
          <w:rFonts w:ascii="Calibri" w:eastAsia="MS Gothic" w:hAnsi="Calibri" w:cs="Times New Roman"/>
          <w:b/>
          <w:bCs/>
          <w:color w:val="0A3D2B"/>
          <w:kern w:val="0"/>
          <w:sz w:val="30"/>
          <w:szCs w:val="28"/>
          <w:lang w:eastAsia="en-US"/>
          <w14:ligatures w14:val="none"/>
        </w:rPr>
      </w:pPr>
      <w:r>
        <w:rPr>
          <w:rFonts w:ascii="Calibri" w:eastAsia="MS Gothic" w:hAnsi="Calibri" w:cs="Times New Roman"/>
          <w:b/>
          <w:bCs/>
          <w:color w:val="0A3D2B"/>
          <w:kern w:val="0"/>
          <w:sz w:val="30"/>
          <w:szCs w:val="28"/>
          <w:lang w:eastAsia="en-US"/>
          <w14:ligatures w14:val="none"/>
        </w:rPr>
        <w:t>14. Data subjects’ rights</w:t>
      </w:r>
    </w:p>
    <w:p w14:paraId="4CC40DDD" w14:textId="77777777" w:rsidR="00532E5E" w:rsidRDefault="00532E5E" w:rsidP="00D57C97">
      <w:pPr>
        <w:spacing w:after="100" w:line="270" w:lineRule="auto"/>
        <w:jc w:val="both"/>
        <w:rPr>
          <w:rFonts w:ascii="Arial" w:eastAsia="Arial" w:hAnsi="Arial" w:cs="Times New Roman"/>
          <w:color w:val="1F2933"/>
          <w:kern w:val="0"/>
          <w:sz w:val="21"/>
          <w:szCs w:val="22"/>
          <w:lang w:eastAsia="en-US"/>
          <w14:ligatures w14:val="none"/>
        </w:rPr>
      </w:pPr>
      <w:r>
        <w:rPr>
          <w:rFonts w:ascii="Arial" w:eastAsia="Arial" w:hAnsi="Arial" w:cs="Times New Roman"/>
          <w:color w:val="1F2933"/>
          <w:kern w:val="0"/>
          <w:sz w:val="21"/>
          <w:szCs w:val="22"/>
          <w:lang w:eastAsia="en-US"/>
          <w14:ligatures w14:val="none"/>
        </w:rPr>
        <w:t>Under the LGPD and subject to the applicable requirements, the data subject may request:</w:t>
      </w:r>
    </w:p>
    <w:p w14:paraId="7ECEF410" w14:textId="77777777" w:rsidR="008623A0" w:rsidRPr="00532E5E" w:rsidRDefault="008623A0" w:rsidP="00D57C97">
      <w:pPr>
        <w:spacing w:after="100" w:line="270" w:lineRule="auto"/>
        <w:jc w:val="both"/>
        <w:rPr>
          <w:rFonts w:ascii="Arial" w:eastAsia="MS Mincho" w:hAnsi="Arial" w:cs="Times New Roman"/>
          <w:color w:val="1F2933"/>
          <w:kern w:val="0"/>
          <w:sz w:val="21"/>
          <w:szCs w:val="22"/>
          <w:lang w:eastAsia="en-US"/>
          <w14:ligatures w14:val="none"/>
        </w:rPr>
      </w:pPr>
    </w:p>
    <w:p w14:paraId="1854A4FD"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confirmation of the existence of processing and access to the data;</w:t>
      </w:r>
    </w:p>
    <w:p w14:paraId="024A3F40"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correction of incomplete, inaccurate or outdated data;</w:t>
      </w:r>
    </w:p>
    <w:p w14:paraId="75693CB5"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anonymization, blocking or deletion of unnecessary or excessive data or data processed in non-compliance;</w:t>
      </w:r>
    </w:p>
    <w:p w14:paraId="614AF061"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portability, where regulated and applicable;</w:t>
      </w:r>
    </w:p>
    <w:p w14:paraId="12F496FA"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deletion of data processed with consent, except in the cases of retention permitted by law;</w:t>
      </w:r>
    </w:p>
    <w:p w14:paraId="4C50B136"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information about the public and private entities with which data has been shared;</w:t>
      </w:r>
    </w:p>
    <w:p w14:paraId="4EAB4DE4"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information about the possibility of not providing consent and the consequences of refusal;</w:t>
      </w:r>
    </w:p>
    <w:p w14:paraId="1CD80589"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withdrawal of consent;</w:t>
      </w:r>
    </w:p>
    <w:p w14:paraId="26592D37"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objection to processing carried out without consent, in the event of non-compliance with the LGPD; and</w:t>
      </w:r>
    </w:p>
    <w:p w14:paraId="462865A8" w14:textId="77777777" w:rsidR="00532E5E" w:rsidRPr="00532E5E" w:rsidRDefault="00532E5E" w:rsidP="37EE27D9">
      <w:pPr>
        <w:numPr>
          <w:ilvl w:val="0"/>
          <w:numId w:val="1"/>
        </w:numPr>
        <w:jc w:val="both"/>
        <w:rPr>
          <w:rFonts w:ascii="Arial" w:eastAsia="MS Mincho" w:hAnsi="Arial" w:cs="Times New Roman"/>
          <w:color w:val="1F2933"/>
          <w:kern w:val="0"/>
          <w:sz w:val="21"/>
          <w:szCs w:val="21"/>
          <w:lang w:eastAsia="en-US"/>
          <w14:ligatures w14:val="none"/>
        </w:rPr>
      </w:pPr>
      <w:r>
        <w:rPr>
          <w:rFonts w:ascii="Arial" w:eastAsia="Arial" w:hAnsi="Arial" w:cs="Times New Roman"/>
          <w:color w:val="1F2933"/>
          <w:kern w:val="0"/>
          <w:sz w:val="21"/>
          <w:szCs w:val="21"/>
          <w:lang w:eastAsia="en-US"/>
          <w14:ligatures w14:val="none"/>
        </w:rPr>
        <w:t xml:space="preserve">review of, and information about, decisions made solely </w:t>
      </w:r>
      <w:proofErr w:type="gramStart"/>
      <w:r>
        <w:rPr>
          <w:rFonts w:ascii="Arial" w:eastAsia="Arial" w:hAnsi="Arial" w:cs="Times New Roman"/>
          <w:color w:val="1F2933"/>
          <w:kern w:val="0"/>
          <w:sz w:val="21"/>
          <w:szCs w:val="21"/>
          <w:lang w:eastAsia="en-US"/>
          <w14:ligatures w14:val="none"/>
        </w:rPr>
        <w:t>on the basis of</w:t>
      </w:r>
      <w:proofErr w:type="gramEnd"/>
      <w:r>
        <w:rPr>
          <w:rFonts w:ascii="Arial" w:eastAsia="Arial" w:hAnsi="Arial" w:cs="Times New Roman"/>
          <w:color w:val="1F2933"/>
          <w:kern w:val="0"/>
          <w:sz w:val="21"/>
          <w:szCs w:val="21"/>
          <w:lang w:eastAsia="en-US"/>
          <w14:ligatures w14:val="none"/>
        </w:rPr>
        <w:t xml:space="preserve"> automated processing that affect their interests, where applicable.</w:t>
      </w:r>
    </w:p>
    <w:p w14:paraId="16D0AD3C" w14:textId="77777777" w:rsidR="00532E5E" w:rsidRPr="00532E5E" w:rsidRDefault="00532E5E" w:rsidP="00D57C97">
      <w:pPr>
        <w:spacing w:after="100" w:line="270" w:lineRule="auto"/>
        <w:jc w:val="both"/>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21"/>
          <w:szCs w:val="22"/>
          <w:lang w:eastAsia="en-US"/>
          <w14:ligatures w14:val="none"/>
        </w:rPr>
        <w:lastRenderedPageBreak/>
        <w:t xml:space="preserve">To protect the data subject and third parties, the Group may request the information necessary to confirm the identity and legitimacy of the requester. Certain requests may be limited or refused where there are legal, regulatory, contractual or technical grounds, or grounds related to the protection of third-party rights, in which case </w:t>
      </w:r>
      <w:proofErr w:type="gramStart"/>
      <w:r>
        <w:rPr>
          <w:rFonts w:ascii="Arial" w:eastAsia="Arial" w:hAnsi="Arial" w:cs="Times New Roman"/>
          <w:color w:val="1F2933"/>
          <w:kern w:val="0"/>
          <w:sz w:val="21"/>
          <w:szCs w:val="22"/>
          <w:lang w:eastAsia="en-US"/>
          <w14:ligatures w14:val="none"/>
        </w:rPr>
        <w:t>the appropriate</w:t>
      </w:r>
      <w:proofErr w:type="gramEnd"/>
      <w:r>
        <w:rPr>
          <w:rFonts w:ascii="Arial" w:eastAsia="Arial" w:hAnsi="Arial" w:cs="Times New Roman"/>
          <w:color w:val="1F2933"/>
          <w:kern w:val="0"/>
          <w:sz w:val="21"/>
          <w:szCs w:val="22"/>
          <w:lang w:eastAsia="en-US"/>
          <w14:ligatures w14:val="none"/>
        </w:rPr>
        <w:t xml:space="preserve"> justification will be provided.</w:t>
      </w:r>
    </w:p>
    <w:p w14:paraId="36C6D17E" w14:textId="1F3CA733" w:rsidR="00532E5E" w:rsidRPr="00D44B79" w:rsidRDefault="00532E5E" w:rsidP="00D44B79">
      <w:pPr>
        <w:keepNext/>
        <w:keepLines/>
        <w:spacing w:before="300" w:after="140" w:line="252" w:lineRule="auto"/>
        <w:outlineLvl w:val="0"/>
        <w:rPr>
          <w:rFonts w:ascii="Calibri" w:eastAsia="MS Gothic" w:hAnsi="Calibri" w:cs="Times New Roman"/>
          <w:b/>
          <w:bCs/>
          <w:color w:val="0A3D2B"/>
          <w:kern w:val="0"/>
          <w:sz w:val="30"/>
          <w:szCs w:val="28"/>
          <w:lang w:eastAsia="en-US"/>
          <w14:ligatures w14:val="none"/>
        </w:rPr>
      </w:pPr>
      <w:r>
        <w:rPr>
          <w:rFonts w:ascii="Calibri" w:eastAsia="MS Gothic" w:hAnsi="Calibri" w:cs="Times New Roman"/>
          <w:b/>
          <w:bCs/>
          <w:color w:val="0A3D2B"/>
          <w:kern w:val="0"/>
          <w:sz w:val="30"/>
          <w:szCs w:val="28"/>
          <w:lang w:eastAsia="en-US"/>
          <w14:ligatures w14:val="none"/>
        </w:rPr>
        <w:t>15. How to contact us</w:t>
      </w:r>
    </w:p>
    <w:p w14:paraId="6A34F062" w14:textId="77777777" w:rsidR="00C64CCE" w:rsidRPr="00532E5E" w:rsidRDefault="00C64CCE" w:rsidP="00532E5E">
      <w:pPr>
        <w:keepNext/>
        <w:keepLines/>
        <w:spacing w:after="100" w:line="270" w:lineRule="auto"/>
        <w:rPr>
          <w:rFonts w:ascii="Arial" w:eastAsia="MS Mincho" w:hAnsi="Arial" w:cs="Times New Roman"/>
          <w:color w:val="1F2933"/>
          <w:kern w:val="0"/>
          <w:sz w:val="21"/>
          <w:szCs w:val="22"/>
          <w:lang w:eastAsia="en-US"/>
          <w14:ligatures w14:val="none"/>
        </w:rPr>
      </w:pPr>
    </w:p>
    <w:tbl>
      <w:tblPr>
        <w:tblW w:w="9518" w:type="dxa"/>
        <w:tblInd w:w="120" w:type="dxa"/>
        <w:tblBorders>
          <w:top w:val="single" w:sz="6" w:space="0" w:color="D6DADD"/>
          <w:left w:val="single" w:sz="6" w:space="0" w:color="D6DADD"/>
          <w:bottom w:val="single" w:sz="6" w:space="0" w:color="D6DADD"/>
          <w:right w:val="single" w:sz="6" w:space="0" w:color="D6DADD"/>
          <w:insideH w:val="single" w:sz="6" w:space="0" w:color="D6DADD"/>
          <w:insideV w:val="single" w:sz="6" w:space="0" w:color="D6DADD"/>
        </w:tblBorders>
        <w:tblLayout w:type="fixed"/>
        <w:tblLook w:val="04A0" w:firstRow="1" w:lastRow="0" w:firstColumn="1" w:lastColumn="0" w:noHBand="0" w:noVBand="1"/>
      </w:tblPr>
      <w:tblGrid>
        <w:gridCol w:w="2450"/>
        <w:gridCol w:w="7068"/>
      </w:tblGrid>
      <w:tr w:rsidR="00532E5E" w:rsidRPr="00532E5E" w14:paraId="3376D5BE" w14:textId="77777777" w:rsidTr="00303060">
        <w:trPr>
          <w:cantSplit/>
        </w:trPr>
        <w:tc>
          <w:tcPr>
            <w:tcW w:w="2450" w:type="dxa"/>
            <w:shd w:val="clear" w:color="auto" w:fill="EAF2ED"/>
            <w:tcMar>
              <w:top w:w="90" w:type="dxa"/>
              <w:left w:w="120" w:type="dxa"/>
              <w:bottom w:w="90" w:type="dxa"/>
              <w:right w:w="120" w:type="dxa"/>
            </w:tcMar>
            <w:vAlign w:val="center"/>
          </w:tcPr>
          <w:p w14:paraId="045F8E2B" w14:textId="2CE5C73E" w:rsidR="00532E5E" w:rsidRPr="00532E5E" w:rsidRDefault="00230020"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0A3D2B"/>
                <w:kern w:val="0"/>
                <w:sz w:val="18"/>
                <w:szCs w:val="22"/>
                <w:lang w:eastAsia="en-US"/>
                <w14:ligatures w14:val="none"/>
              </w:rPr>
              <w:t>Data Protection Officer</w:t>
            </w:r>
          </w:p>
        </w:tc>
        <w:tc>
          <w:tcPr>
            <w:tcW w:w="7068" w:type="dxa"/>
            <w:tcMar>
              <w:top w:w="90" w:type="dxa"/>
              <w:left w:w="120" w:type="dxa"/>
              <w:bottom w:w="90" w:type="dxa"/>
              <w:right w:w="120" w:type="dxa"/>
            </w:tcMar>
            <w:vAlign w:val="center"/>
          </w:tcPr>
          <w:p w14:paraId="60DDAE5B" w14:textId="7D2ACD9A" w:rsidR="00532E5E" w:rsidRPr="00532E5E" w:rsidRDefault="00230020"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GUSTAVO NEVES PONTES</w:t>
            </w:r>
          </w:p>
        </w:tc>
      </w:tr>
      <w:tr w:rsidR="00532E5E" w:rsidRPr="00532E5E" w14:paraId="4C721861" w14:textId="77777777" w:rsidTr="00303060">
        <w:trPr>
          <w:cantSplit/>
        </w:trPr>
        <w:tc>
          <w:tcPr>
            <w:tcW w:w="2450" w:type="dxa"/>
            <w:shd w:val="clear" w:color="auto" w:fill="EAF2ED"/>
            <w:tcMar>
              <w:top w:w="90" w:type="dxa"/>
              <w:left w:w="120" w:type="dxa"/>
              <w:bottom w:w="90" w:type="dxa"/>
              <w:right w:w="120" w:type="dxa"/>
            </w:tcMar>
            <w:vAlign w:val="center"/>
          </w:tcPr>
          <w:p w14:paraId="70F29716"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0A3D2B"/>
                <w:kern w:val="0"/>
                <w:sz w:val="18"/>
                <w:szCs w:val="22"/>
                <w:lang w:eastAsia="en-US"/>
                <w14:ligatures w14:val="none"/>
              </w:rPr>
              <w:t>Institutional e-mail</w:t>
            </w:r>
          </w:p>
        </w:tc>
        <w:tc>
          <w:tcPr>
            <w:tcW w:w="7068" w:type="dxa"/>
            <w:tcMar>
              <w:top w:w="90" w:type="dxa"/>
              <w:left w:w="120" w:type="dxa"/>
              <w:bottom w:w="90" w:type="dxa"/>
              <w:right w:w="120" w:type="dxa"/>
            </w:tcMar>
            <w:vAlign w:val="center"/>
          </w:tcPr>
          <w:p w14:paraId="259B289F" w14:textId="7CFB059E" w:rsidR="00532E5E" w:rsidRPr="00532E5E" w:rsidRDefault="00D57C97" w:rsidP="00532E5E">
            <w:pPr>
              <w:spacing w:after="0" w:line="259" w:lineRule="auto"/>
              <w:rPr>
                <w:rFonts w:ascii="Arial" w:eastAsia="MS Mincho" w:hAnsi="Arial" w:cs="Times New Roman"/>
                <w:color w:val="1F2933"/>
                <w:kern w:val="0"/>
                <w:sz w:val="21"/>
                <w:szCs w:val="22"/>
                <w:lang w:eastAsia="en-US"/>
                <w14:ligatures w14:val="none"/>
              </w:rPr>
            </w:pPr>
            <w:hyperlink r:id="rId7" w:history="1">
              <w:r>
                <w:rPr>
                  <w:rStyle w:val="Hyperlink"/>
                  <w:rFonts w:ascii="Arial" w:eastAsia="Arial" w:hAnsi="Arial" w:cs="Times New Roman"/>
                  <w:kern w:val="0"/>
                  <w:sz w:val="18"/>
                  <w:szCs w:val="22"/>
                  <w:lang w:eastAsia="en-US"/>
                  <w14:ligatures w14:val="none"/>
                </w:rPr>
                <w:t>ri@invista.me</w:t>
              </w:r>
            </w:hyperlink>
          </w:p>
        </w:tc>
      </w:tr>
      <w:tr w:rsidR="00532E5E" w:rsidRPr="00532E5E" w14:paraId="6DF46887" w14:textId="77777777" w:rsidTr="00303060">
        <w:trPr>
          <w:cantSplit/>
        </w:trPr>
        <w:tc>
          <w:tcPr>
            <w:tcW w:w="2450" w:type="dxa"/>
            <w:shd w:val="clear" w:color="auto" w:fill="EAF2ED"/>
            <w:tcMar>
              <w:top w:w="90" w:type="dxa"/>
              <w:left w:w="120" w:type="dxa"/>
              <w:bottom w:w="90" w:type="dxa"/>
              <w:right w:w="120" w:type="dxa"/>
            </w:tcMar>
            <w:vAlign w:val="center"/>
          </w:tcPr>
          <w:p w14:paraId="501E190E"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0A3D2B"/>
                <w:kern w:val="0"/>
                <w:sz w:val="18"/>
                <w:szCs w:val="22"/>
                <w:lang w:eastAsia="en-US"/>
                <w14:ligatures w14:val="none"/>
              </w:rPr>
              <w:t>Address</w:t>
            </w:r>
          </w:p>
        </w:tc>
        <w:tc>
          <w:tcPr>
            <w:tcW w:w="7068" w:type="dxa"/>
            <w:tcMar>
              <w:top w:w="90" w:type="dxa"/>
              <w:left w:w="120" w:type="dxa"/>
              <w:bottom w:w="90" w:type="dxa"/>
              <w:right w:w="120" w:type="dxa"/>
            </w:tcMar>
            <w:vAlign w:val="center"/>
          </w:tcPr>
          <w:p w14:paraId="2DB4036E" w14:textId="77777777" w:rsidR="00532E5E" w:rsidRPr="00532E5E" w:rsidRDefault="00532E5E" w:rsidP="00532E5E">
            <w:pPr>
              <w:spacing w:after="0" w:line="259"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8"/>
                <w:szCs w:val="22"/>
                <w:lang w:eastAsia="en-US"/>
                <w14:ligatures w14:val="none"/>
              </w:rPr>
              <w:t>Rua Gomes de Carvalho, 1507, Suite 101, Block A, Vila Olímpia, São Paulo/SP, ZIP Code 04547-005</w:t>
            </w:r>
          </w:p>
        </w:tc>
      </w:tr>
    </w:tbl>
    <w:p w14:paraId="6C049A3B" w14:textId="77777777" w:rsidR="00C64CCE" w:rsidRDefault="00C64CCE" w:rsidP="00C64CCE">
      <w:pPr>
        <w:spacing w:after="100" w:line="270" w:lineRule="auto"/>
        <w:rPr>
          <w:rFonts w:ascii="Arial" w:eastAsia="MS Mincho" w:hAnsi="Arial" w:cs="Times New Roman"/>
          <w:color w:val="1F2933"/>
          <w:kern w:val="0"/>
          <w:sz w:val="21"/>
          <w:szCs w:val="22"/>
          <w:lang w:eastAsia="en-US"/>
          <w14:ligatures w14:val="none"/>
        </w:rPr>
      </w:pPr>
    </w:p>
    <w:p w14:paraId="7DEF87EA" w14:textId="46C55049" w:rsidR="00532E5E" w:rsidRPr="00532E5E" w:rsidRDefault="00C64CCE" w:rsidP="00C64CCE">
      <w:pPr>
        <w:spacing w:after="100" w:line="270" w:lineRule="auto"/>
        <w:rPr>
          <w:rFonts w:ascii="Calibri" w:eastAsia="MS Gothic" w:hAnsi="Calibri" w:cs="Times New Roman"/>
          <w:b/>
          <w:bCs/>
          <w:color w:val="0A3D2B"/>
          <w:kern w:val="0"/>
          <w:sz w:val="30"/>
          <w:szCs w:val="28"/>
          <w:lang w:eastAsia="en-US"/>
          <w14:ligatures w14:val="none"/>
        </w:rPr>
      </w:pPr>
      <w:r>
        <w:rPr>
          <w:rFonts w:ascii="Calibri" w:eastAsia="MS Gothic" w:hAnsi="Calibri" w:cs="Times New Roman"/>
          <w:b/>
          <w:bCs/>
          <w:color w:val="0A3D2B"/>
          <w:kern w:val="0"/>
          <w:sz w:val="30"/>
          <w:szCs w:val="28"/>
          <w:lang w:eastAsia="en-US"/>
          <w14:ligatures w14:val="none"/>
        </w:rPr>
        <w:t>16. Updates to this Notice</w:t>
      </w:r>
    </w:p>
    <w:p w14:paraId="693E12EB" w14:textId="77777777" w:rsidR="00532E5E" w:rsidRDefault="00532E5E" w:rsidP="00D57C97">
      <w:pPr>
        <w:spacing w:after="100" w:line="270" w:lineRule="auto"/>
        <w:jc w:val="both"/>
        <w:rPr>
          <w:rFonts w:ascii="Arial" w:eastAsia="Arial" w:hAnsi="Arial" w:cs="Times New Roman"/>
          <w:color w:val="1F2933"/>
          <w:kern w:val="0"/>
          <w:sz w:val="21"/>
          <w:szCs w:val="22"/>
          <w:lang w:eastAsia="en-US"/>
          <w14:ligatures w14:val="none"/>
        </w:rPr>
      </w:pPr>
      <w:r>
        <w:rPr>
          <w:rFonts w:ascii="Arial" w:eastAsia="Arial" w:hAnsi="Arial" w:cs="Times New Roman"/>
          <w:color w:val="1F2933"/>
          <w:kern w:val="0"/>
          <w:sz w:val="21"/>
          <w:szCs w:val="22"/>
          <w:lang w:eastAsia="en-US"/>
          <w14:ligatures w14:val="none"/>
        </w:rPr>
        <w:t>This Notice may be updated to reflect legal, regulatory, technological, corporate or operational changes. The current version and the date of the last update will be made available on the institutional website. Material changes affecting consent-based processing will be communicated appropriately, ensuring the possibility of withdrawal where applicable.</w:t>
      </w:r>
    </w:p>
    <w:p w14:paraId="1403EC6A" w14:textId="77777777" w:rsidR="00C64CCE" w:rsidRPr="00532E5E" w:rsidRDefault="00C64CCE" w:rsidP="00532E5E">
      <w:pPr>
        <w:spacing w:after="100" w:line="270" w:lineRule="auto"/>
        <w:rPr>
          <w:rFonts w:ascii="Arial" w:eastAsia="MS Mincho" w:hAnsi="Arial" w:cs="Times New Roman"/>
          <w:color w:val="1F2933"/>
          <w:kern w:val="0"/>
          <w:sz w:val="21"/>
          <w:szCs w:val="22"/>
          <w:lang w:eastAsia="en-US"/>
          <w14:ligatures w14:val="none"/>
        </w:rPr>
      </w:pPr>
    </w:p>
    <w:tbl>
      <w:tblPr>
        <w:tblW w:w="9518" w:type="dxa"/>
        <w:tblInd w:w="120" w:type="dxa"/>
        <w:tblBorders>
          <w:top w:val="single" w:sz="0" w:space="0" w:color="F3F5F6"/>
          <w:left w:val="single" w:sz="0" w:space="0" w:color="F3F5F6"/>
          <w:bottom w:val="single" w:sz="0" w:space="0" w:color="F3F5F6"/>
          <w:right w:val="single" w:sz="0" w:space="0" w:color="F3F5F6"/>
          <w:insideH w:val="single" w:sz="0" w:space="0" w:color="F3F5F6"/>
          <w:insideV w:val="single" w:sz="0" w:space="0" w:color="F3F5F6"/>
        </w:tblBorders>
        <w:tblLayout w:type="fixed"/>
        <w:tblLook w:val="04A0" w:firstRow="1" w:lastRow="0" w:firstColumn="1" w:lastColumn="0" w:noHBand="0" w:noVBand="1"/>
      </w:tblPr>
      <w:tblGrid>
        <w:gridCol w:w="9518"/>
      </w:tblGrid>
      <w:tr w:rsidR="00532E5E" w:rsidRPr="00532E5E" w14:paraId="083F8968" w14:textId="77777777" w:rsidTr="00303060">
        <w:trPr>
          <w:cantSplit/>
        </w:trPr>
        <w:tc>
          <w:tcPr>
            <w:tcW w:w="9518" w:type="dxa"/>
            <w:shd w:val="clear" w:color="auto" w:fill="F3F5F6"/>
            <w:tcMar>
              <w:top w:w="150" w:type="dxa"/>
              <w:left w:w="180" w:type="dxa"/>
              <w:bottom w:w="150" w:type="dxa"/>
              <w:right w:w="180" w:type="dxa"/>
            </w:tcMar>
            <w:vAlign w:val="center"/>
          </w:tcPr>
          <w:p w14:paraId="0D68A567" w14:textId="77777777" w:rsidR="00532E5E" w:rsidRPr="00532E5E" w:rsidRDefault="00532E5E" w:rsidP="00532E5E">
            <w:pPr>
              <w:spacing w:after="80" w:line="270" w:lineRule="auto"/>
              <w:rPr>
                <w:rFonts w:ascii="Arial" w:eastAsia="MS Mincho" w:hAnsi="Arial" w:cs="Times New Roman"/>
                <w:color w:val="1F2933"/>
                <w:kern w:val="0"/>
                <w:sz w:val="21"/>
                <w:szCs w:val="22"/>
                <w:lang w:eastAsia="en-US"/>
                <w14:ligatures w14:val="none"/>
              </w:rPr>
            </w:pPr>
            <w:r>
              <w:rPr>
                <w:rFonts w:ascii="Arial" w:eastAsia="Arial" w:hAnsi="Arial" w:cs="Times New Roman"/>
                <w:b/>
                <w:color w:val="0A3D2B"/>
                <w:kern w:val="0"/>
                <w:sz w:val="22"/>
                <w:szCs w:val="22"/>
                <w:lang w:eastAsia="en-US"/>
                <w14:ligatures w14:val="none"/>
              </w:rPr>
              <w:t>Last updated</w:t>
            </w:r>
          </w:p>
          <w:p w14:paraId="029E26B4" w14:textId="16094ECC" w:rsidR="00532E5E" w:rsidRPr="00532E5E" w:rsidRDefault="008623A0" w:rsidP="00532E5E">
            <w:pPr>
              <w:spacing w:after="0" w:line="264" w:lineRule="auto"/>
              <w:rPr>
                <w:rFonts w:ascii="Arial" w:eastAsia="MS Mincho" w:hAnsi="Arial" w:cs="Times New Roman"/>
                <w:color w:val="1F2933"/>
                <w:kern w:val="0"/>
                <w:sz w:val="21"/>
                <w:szCs w:val="22"/>
                <w:lang w:eastAsia="en-US"/>
                <w14:ligatures w14:val="none"/>
              </w:rPr>
            </w:pPr>
            <w:r>
              <w:rPr>
                <w:rFonts w:ascii="Arial" w:eastAsia="Arial" w:hAnsi="Arial" w:cs="Times New Roman"/>
                <w:color w:val="1F2933"/>
                <w:kern w:val="0"/>
                <w:sz w:val="19"/>
                <w:szCs w:val="22"/>
                <w:lang w:eastAsia="en-US"/>
                <w14:ligatures w14:val="none"/>
              </w:rPr>
              <w:t>October</w:t>
            </w:r>
            <w:r w:rsidR="00532E5E">
              <w:rPr>
                <w:rFonts w:ascii="Arial" w:eastAsia="Arial" w:hAnsi="Arial" w:cs="Times New Roman"/>
                <w:color w:val="1F2933"/>
                <w:kern w:val="0"/>
                <w:sz w:val="19"/>
                <w:szCs w:val="22"/>
                <w:lang w:eastAsia="en-US"/>
                <w14:ligatures w14:val="none"/>
              </w:rPr>
              <w:t xml:space="preserve"> 2026 | Version 1.0</w:t>
            </w:r>
          </w:p>
        </w:tc>
      </w:tr>
    </w:tbl>
    <w:p w14:paraId="15BB34A1" w14:textId="77777777" w:rsidR="00532E5E" w:rsidRDefault="00532E5E" w:rsidP="00767BC1"/>
    <w:sectPr w:rsidR="00532E5E" w:rsidSect="00532E5E">
      <w:headerReference w:type="default" r:id="rId8"/>
      <w:footerReference w:type="default" r:id="rId9"/>
      <w:pgSz w:w="11906" w:h="16838"/>
      <w:pgMar w:top="1134" w:right="1134" w:bottom="1020" w:left="1134" w:header="51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CAB0A" w14:textId="77777777" w:rsidR="00A5291E" w:rsidRDefault="00A5291E" w:rsidP="00FF7358">
      <w:pPr>
        <w:spacing w:after="0" w:line="240" w:lineRule="auto"/>
      </w:pPr>
      <w:r>
        <w:separator/>
      </w:r>
    </w:p>
  </w:endnote>
  <w:endnote w:type="continuationSeparator" w:id="0">
    <w:p w14:paraId="245DC074" w14:textId="77777777" w:rsidR="00A5291E" w:rsidRDefault="00A5291E" w:rsidP="00FF73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54BC" w14:textId="3D344CFB" w:rsidR="00532E5E" w:rsidRDefault="00532E5E">
    <w:pPr>
      <w:pStyle w:val="Rodap1"/>
      <w:tabs>
        <w:tab w:val="right" w:pos="9581"/>
      </w:tabs>
    </w:pPr>
    <w:r>
      <w:rPr>
        <w:rFonts w:eastAsia="Arial"/>
        <w:color w:val="6B7280"/>
        <w:sz w:val="16"/>
      </w:rPr>
      <w:t xml:space="preserve">Version 1.0 | </w:t>
    </w:r>
    <w:r w:rsidR="00C7329D">
      <w:rPr>
        <w:rFonts w:eastAsia="Arial"/>
        <w:color w:val="6B7280"/>
        <w:sz w:val="16"/>
      </w:rPr>
      <w:t>October</w:t>
    </w:r>
    <w:r>
      <w:rPr>
        <w:rFonts w:eastAsia="Arial"/>
        <w:color w:val="6B7280"/>
        <w:sz w:val="16"/>
      </w:rPr>
      <w:t xml:space="preserve"> 2026</w:t>
    </w:r>
    <w:r>
      <w:rPr>
        <w:rFonts w:eastAsia="Arial"/>
        <w:color w:val="6B7280"/>
        <w:sz w:val="16"/>
      </w:rPr>
      <w:tab/>
      <w:t xml:space="preserve">Page </w:t>
    </w:r>
    <w:r>
      <w:rPr>
        <w:rFonts w:eastAsia="Arial"/>
        <w:color w:val="6B7280"/>
        <w:sz w:val="16"/>
      </w:rPr>
      <w:fldChar w:fldCharType="begin"/>
    </w:r>
    <w:r>
      <w:rPr>
        <w:rFonts w:eastAsia="Arial"/>
        <w:color w:val="6B7280"/>
        <w:sz w:val="16"/>
      </w:rPr>
      <w:instrText xml:space="preserve"> PAGE </w:instrText>
    </w:r>
    <w:r>
      <w:rPr>
        <w:rFonts w:eastAsia="Arial"/>
        <w:color w:val="6B7280"/>
        <w:sz w:val="16"/>
      </w:rPr>
      <w:fldChar w:fldCharType="separate"/>
    </w:r>
    <w:r>
      <w:rPr>
        <w:rFonts w:eastAsia="Arial"/>
        <w:noProof/>
        <w:color w:val="6B7280"/>
        <w:sz w:val="16"/>
      </w:rPr>
      <w:t>1</w:t>
    </w:r>
    <w:r>
      <w:rPr>
        <w:rFonts w:eastAsia="Arial"/>
        <w:color w:val="6B7280"/>
        <w:sz w:val="16"/>
      </w:rPr>
      <w:fldChar w:fldCharType="end"/>
    </w:r>
    <w:r>
      <w:rPr>
        <w:rFonts w:eastAsia="Arial"/>
        <w:color w:val="6B7280"/>
        <w:sz w:val="16"/>
      </w:rPr>
      <w:t xml:space="preserve"> of </w:t>
    </w:r>
    <w:r>
      <w:rPr>
        <w:rFonts w:eastAsia="Arial"/>
        <w:color w:val="6B7280"/>
        <w:sz w:val="16"/>
      </w:rPr>
      <w:fldChar w:fldCharType="begin"/>
    </w:r>
    <w:r>
      <w:rPr>
        <w:rFonts w:eastAsia="Arial"/>
        <w:color w:val="6B7280"/>
        <w:sz w:val="16"/>
      </w:rPr>
      <w:instrText xml:space="preserve"> NUMPAGES </w:instrText>
    </w:r>
    <w:r>
      <w:rPr>
        <w:rFonts w:eastAsia="Arial"/>
        <w:color w:val="6B7280"/>
        <w:sz w:val="16"/>
      </w:rPr>
      <w:fldChar w:fldCharType="separate"/>
    </w:r>
    <w:r>
      <w:rPr>
        <w:rFonts w:eastAsia="Arial"/>
        <w:noProof/>
        <w:color w:val="6B7280"/>
        <w:sz w:val="16"/>
      </w:rPr>
      <w:t>2</w:t>
    </w:r>
    <w:r>
      <w:rPr>
        <w:rFonts w:eastAsia="Arial"/>
        <w:color w:val="6B728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619B1" w14:textId="77777777" w:rsidR="00A5291E" w:rsidRDefault="00A5291E" w:rsidP="00FF7358">
      <w:pPr>
        <w:spacing w:after="0" w:line="240" w:lineRule="auto"/>
      </w:pPr>
      <w:r>
        <w:separator/>
      </w:r>
    </w:p>
  </w:footnote>
  <w:footnote w:type="continuationSeparator" w:id="0">
    <w:p w14:paraId="6F5FC736" w14:textId="77777777" w:rsidR="00A5291E" w:rsidRDefault="00A5291E" w:rsidP="00FF73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040F6" w14:textId="77777777" w:rsidR="00532E5E" w:rsidRDefault="00532E5E">
    <w:pPr>
      <w:pStyle w:val="Cabealho1"/>
      <w:tabs>
        <w:tab w:val="right" w:pos="9581"/>
      </w:tabs>
    </w:pPr>
    <w:proofErr w:type="spellStart"/>
    <w:r>
      <w:rPr>
        <w:rFonts w:eastAsia="Arial"/>
        <w:b/>
        <w:color w:val="0A3D2B"/>
        <w:sz w:val="16"/>
      </w:rPr>
      <w:t>inVista</w:t>
    </w:r>
    <w:proofErr w:type="spellEnd"/>
    <w:r>
      <w:rPr>
        <w:rFonts w:eastAsia="Arial"/>
        <w:b/>
        <w:color w:val="0A3D2B"/>
        <w:sz w:val="16"/>
      </w:rPr>
      <w:t xml:space="preserve"> </w:t>
    </w:r>
    <w:proofErr w:type="gramStart"/>
    <w:r>
      <w:rPr>
        <w:rFonts w:eastAsia="Arial"/>
        <w:b/>
        <w:color w:val="0A3D2B"/>
        <w:sz w:val="16"/>
      </w:rPr>
      <w:t>GROUP</w:t>
    </w:r>
    <w:r>
      <w:rPr>
        <w:rFonts w:eastAsia="Arial"/>
        <w:b/>
        <w:color w:val="6B7280"/>
        <w:sz w:val="16"/>
      </w:rPr>
      <w:tab/>
      <w:t>PRIVACY</w:t>
    </w:r>
    <w:proofErr w:type="gramEnd"/>
    <w:r>
      <w:rPr>
        <w:rFonts w:eastAsia="Arial"/>
        <w:b/>
        <w:color w:val="6B7280"/>
        <w:sz w:val="16"/>
      </w:rPr>
      <w:t xml:space="preserve"> NOTICE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B0007"/>
    <w:multiLevelType w:val="singleLevel"/>
    <w:tmpl w:val="FFFFFFFF"/>
    <w:lvl w:ilvl="0">
      <w:start w:val="1"/>
      <w:numFmt w:val="bullet"/>
      <w:pStyle w:val="Commarcadores1"/>
      <w:lvlText w:val="•"/>
      <w:lvlJc w:val="left"/>
      <w:pPr>
        <w:tabs>
          <w:tab w:val="num" w:pos="576"/>
        </w:tabs>
        <w:spacing w:after="60" w:line="270" w:lineRule="auto"/>
        <w:ind w:left="576" w:hanging="288"/>
      </w:pPr>
      <w:rPr>
        <w:rFonts w:ascii="Arial" w:hAnsi="Arial"/>
        <w:color w:val="0A3D2B"/>
      </w:rPr>
    </w:lvl>
  </w:abstractNum>
  <w:abstractNum w:abstractNumId="1" w15:restartNumberingAfterBreak="0">
    <w:nsid w:val="37CD0C77"/>
    <w:multiLevelType w:val="hybridMultilevel"/>
    <w:tmpl w:val="5D3ADA1E"/>
    <w:lvl w:ilvl="0" w:tplc="5E6E0C68">
      <w:start w:val="1"/>
      <w:numFmt w:val="bullet"/>
      <w:lvlText w:val="•"/>
      <w:lvlJc w:val="left"/>
      <w:pPr>
        <w:ind w:left="720" w:hanging="360"/>
      </w:pPr>
      <w:rPr>
        <w:rFonts w:ascii="Arial" w:hAnsi="Arial" w:hint="default"/>
      </w:rPr>
    </w:lvl>
    <w:lvl w:ilvl="1" w:tplc="6C8E11DC">
      <w:start w:val="1"/>
      <w:numFmt w:val="bullet"/>
      <w:lvlText w:val="o"/>
      <w:lvlJc w:val="left"/>
      <w:pPr>
        <w:ind w:left="1440" w:hanging="360"/>
      </w:pPr>
      <w:rPr>
        <w:rFonts w:ascii="Courier New" w:hAnsi="Courier New" w:hint="default"/>
      </w:rPr>
    </w:lvl>
    <w:lvl w:ilvl="2" w:tplc="A8289FF0">
      <w:start w:val="1"/>
      <w:numFmt w:val="bullet"/>
      <w:lvlText w:val=""/>
      <w:lvlJc w:val="left"/>
      <w:pPr>
        <w:ind w:left="2160" w:hanging="360"/>
      </w:pPr>
      <w:rPr>
        <w:rFonts w:ascii="Wingdings" w:hAnsi="Wingdings" w:hint="default"/>
      </w:rPr>
    </w:lvl>
    <w:lvl w:ilvl="3" w:tplc="5058C894">
      <w:start w:val="1"/>
      <w:numFmt w:val="bullet"/>
      <w:lvlText w:val=""/>
      <w:lvlJc w:val="left"/>
      <w:pPr>
        <w:ind w:left="2880" w:hanging="360"/>
      </w:pPr>
      <w:rPr>
        <w:rFonts w:ascii="Symbol" w:hAnsi="Symbol" w:hint="default"/>
      </w:rPr>
    </w:lvl>
    <w:lvl w:ilvl="4" w:tplc="5A10A39E">
      <w:start w:val="1"/>
      <w:numFmt w:val="bullet"/>
      <w:lvlText w:val="o"/>
      <w:lvlJc w:val="left"/>
      <w:pPr>
        <w:ind w:left="3600" w:hanging="360"/>
      </w:pPr>
      <w:rPr>
        <w:rFonts w:ascii="Courier New" w:hAnsi="Courier New" w:hint="default"/>
      </w:rPr>
    </w:lvl>
    <w:lvl w:ilvl="5" w:tplc="7FF8EF7A">
      <w:start w:val="1"/>
      <w:numFmt w:val="bullet"/>
      <w:lvlText w:val=""/>
      <w:lvlJc w:val="left"/>
      <w:pPr>
        <w:ind w:left="4320" w:hanging="360"/>
      </w:pPr>
      <w:rPr>
        <w:rFonts w:ascii="Wingdings" w:hAnsi="Wingdings" w:hint="default"/>
      </w:rPr>
    </w:lvl>
    <w:lvl w:ilvl="6" w:tplc="DD686E8A">
      <w:start w:val="1"/>
      <w:numFmt w:val="bullet"/>
      <w:lvlText w:val=""/>
      <w:lvlJc w:val="left"/>
      <w:pPr>
        <w:ind w:left="5040" w:hanging="360"/>
      </w:pPr>
      <w:rPr>
        <w:rFonts w:ascii="Symbol" w:hAnsi="Symbol" w:hint="default"/>
      </w:rPr>
    </w:lvl>
    <w:lvl w:ilvl="7" w:tplc="1A7C4850">
      <w:start w:val="1"/>
      <w:numFmt w:val="bullet"/>
      <w:lvlText w:val="o"/>
      <w:lvlJc w:val="left"/>
      <w:pPr>
        <w:ind w:left="5760" w:hanging="360"/>
      </w:pPr>
      <w:rPr>
        <w:rFonts w:ascii="Courier New" w:hAnsi="Courier New" w:hint="default"/>
      </w:rPr>
    </w:lvl>
    <w:lvl w:ilvl="8" w:tplc="96B41CD0">
      <w:start w:val="1"/>
      <w:numFmt w:val="bullet"/>
      <w:lvlText w:val=""/>
      <w:lvlJc w:val="left"/>
      <w:pPr>
        <w:ind w:left="6480" w:hanging="360"/>
      </w:pPr>
      <w:rPr>
        <w:rFonts w:ascii="Wingdings" w:hAnsi="Wingdings" w:hint="default"/>
      </w:rPr>
    </w:lvl>
  </w:abstractNum>
  <w:num w:numId="1" w16cid:durableId="829293469">
    <w:abstractNumId w:val="1"/>
  </w:num>
  <w:num w:numId="2" w16cid:durableId="100345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E5E"/>
    <w:rsid w:val="00126271"/>
    <w:rsid w:val="00230020"/>
    <w:rsid w:val="00532E5E"/>
    <w:rsid w:val="0069390B"/>
    <w:rsid w:val="006F698A"/>
    <w:rsid w:val="00767BC1"/>
    <w:rsid w:val="007E4C76"/>
    <w:rsid w:val="008623A0"/>
    <w:rsid w:val="00917298"/>
    <w:rsid w:val="0097063C"/>
    <w:rsid w:val="009962DB"/>
    <w:rsid w:val="009F1A6A"/>
    <w:rsid w:val="00A32E46"/>
    <w:rsid w:val="00A5291E"/>
    <w:rsid w:val="00AD138B"/>
    <w:rsid w:val="00B1217C"/>
    <w:rsid w:val="00B17FBB"/>
    <w:rsid w:val="00B34ABB"/>
    <w:rsid w:val="00BB180A"/>
    <w:rsid w:val="00C64CCE"/>
    <w:rsid w:val="00C7329D"/>
    <w:rsid w:val="00D44B79"/>
    <w:rsid w:val="00D57C97"/>
    <w:rsid w:val="00F9587E"/>
    <w:rsid w:val="00FF7358"/>
    <w:rsid w:val="01AB9BD3"/>
    <w:rsid w:val="0279F101"/>
    <w:rsid w:val="07FFACD5"/>
    <w:rsid w:val="11782E6A"/>
    <w:rsid w:val="1D34BE8E"/>
    <w:rsid w:val="1DAA2043"/>
    <w:rsid w:val="25BC1FC3"/>
    <w:rsid w:val="3161043B"/>
    <w:rsid w:val="366F271F"/>
    <w:rsid w:val="37EE27D9"/>
    <w:rsid w:val="3DDE51EE"/>
    <w:rsid w:val="4B19E4F9"/>
    <w:rsid w:val="52A222C7"/>
    <w:rsid w:val="76465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45C0F"/>
  <w15:chartTrackingRefBased/>
  <w15:docId w15:val="{AD48EAF9-45A7-AB44-8DDB-128A57194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532E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532E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532E5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532E5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532E5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532E5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532E5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532E5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532E5E"/>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32E5E"/>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532E5E"/>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532E5E"/>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532E5E"/>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532E5E"/>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532E5E"/>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532E5E"/>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532E5E"/>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532E5E"/>
    <w:rPr>
      <w:rFonts w:eastAsiaTheme="majorEastAsia" w:cstheme="majorBidi"/>
      <w:color w:val="272727" w:themeColor="text1" w:themeTint="D8"/>
    </w:rPr>
  </w:style>
  <w:style w:type="paragraph" w:styleId="Ttulo">
    <w:name w:val="Title"/>
    <w:basedOn w:val="Normal"/>
    <w:next w:val="Normal"/>
    <w:link w:val="TtuloChar"/>
    <w:uiPriority w:val="10"/>
    <w:qFormat/>
    <w:rsid w:val="00532E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532E5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532E5E"/>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532E5E"/>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532E5E"/>
    <w:pPr>
      <w:spacing w:before="160"/>
      <w:jc w:val="center"/>
    </w:pPr>
    <w:rPr>
      <w:i/>
      <w:iCs/>
      <w:color w:val="404040" w:themeColor="text1" w:themeTint="BF"/>
    </w:rPr>
  </w:style>
  <w:style w:type="character" w:customStyle="1" w:styleId="CitaoChar">
    <w:name w:val="Citação Char"/>
    <w:basedOn w:val="Fontepargpadro"/>
    <w:link w:val="Citao"/>
    <w:uiPriority w:val="29"/>
    <w:rsid w:val="00532E5E"/>
    <w:rPr>
      <w:i/>
      <w:iCs/>
      <w:color w:val="404040" w:themeColor="text1" w:themeTint="BF"/>
    </w:rPr>
  </w:style>
  <w:style w:type="paragraph" w:styleId="PargrafodaLista">
    <w:name w:val="List Paragraph"/>
    <w:basedOn w:val="Normal"/>
    <w:uiPriority w:val="34"/>
    <w:qFormat/>
    <w:rsid w:val="00532E5E"/>
    <w:pPr>
      <w:ind w:left="720"/>
      <w:contextualSpacing/>
    </w:pPr>
  </w:style>
  <w:style w:type="character" w:styleId="nfaseIntensa">
    <w:name w:val="Intense Emphasis"/>
    <w:basedOn w:val="Fontepargpadro"/>
    <w:uiPriority w:val="21"/>
    <w:qFormat/>
    <w:rsid w:val="00532E5E"/>
    <w:rPr>
      <w:i/>
      <w:iCs/>
      <w:color w:val="0F4761" w:themeColor="accent1" w:themeShade="BF"/>
    </w:rPr>
  </w:style>
  <w:style w:type="paragraph" w:styleId="CitaoIntensa">
    <w:name w:val="Intense Quote"/>
    <w:basedOn w:val="Normal"/>
    <w:next w:val="Normal"/>
    <w:link w:val="CitaoIntensaChar"/>
    <w:uiPriority w:val="30"/>
    <w:qFormat/>
    <w:rsid w:val="00532E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532E5E"/>
    <w:rPr>
      <w:i/>
      <w:iCs/>
      <w:color w:val="0F4761" w:themeColor="accent1" w:themeShade="BF"/>
    </w:rPr>
  </w:style>
  <w:style w:type="character" w:styleId="RefernciaIntensa">
    <w:name w:val="Intense Reference"/>
    <w:basedOn w:val="Fontepargpadro"/>
    <w:uiPriority w:val="32"/>
    <w:qFormat/>
    <w:rsid w:val="00532E5E"/>
    <w:rPr>
      <w:b/>
      <w:bCs/>
      <w:smallCaps/>
      <w:color w:val="0F4761" w:themeColor="accent1" w:themeShade="BF"/>
      <w:spacing w:val="5"/>
    </w:rPr>
  </w:style>
  <w:style w:type="paragraph" w:customStyle="1" w:styleId="Cabealho1">
    <w:name w:val="Cabeçalho1"/>
    <w:basedOn w:val="Normal"/>
    <w:next w:val="Cabealho"/>
    <w:link w:val="CabealhoChar"/>
    <w:uiPriority w:val="99"/>
    <w:unhideWhenUsed/>
    <w:rsid w:val="00532E5E"/>
    <w:pPr>
      <w:tabs>
        <w:tab w:val="center" w:pos="4680"/>
        <w:tab w:val="right" w:pos="9360"/>
      </w:tabs>
      <w:spacing w:after="0" w:line="240" w:lineRule="auto"/>
    </w:pPr>
    <w:rPr>
      <w:rFonts w:ascii="Arial" w:hAnsi="Arial"/>
      <w:color w:val="1F2933"/>
      <w:sz w:val="21"/>
    </w:rPr>
  </w:style>
  <w:style w:type="character" w:customStyle="1" w:styleId="CabealhoChar">
    <w:name w:val="Cabeçalho Char"/>
    <w:basedOn w:val="Fontepargpadro"/>
    <w:link w:val="Cabealho1"/>
    <w:uiPriority w:val="99"/>
    <w:rsid w:val="00532E5E"/>
    <w:rPr>
      <w:rFonts w:ascii="Arial" w:hAnsi="Arial"/>
      <w:color w:val="1F2933"/>
      <w:sz w:val="21"/>
    </w:rPr>
  </w:style>
  <w:style w:type="paragraph" w:customStyle="1" w:styleId="Rodap1">
    <w:name w:val="Rodapé1"/>
    <w:basedOn w:val="Normal"/>
    <w:next w:val="Rodap"/>
    <w:link w:val="RodapChar"/>
    <w:uiPriority w:val="99"/>
    <w:unhideWhenUsed/>
    <w:rsid w:val="00532E5E"/>
    <w:pPr>
      <w:tabs>
        <w:tab w:val="center" w:pos="4680"/>
        <w:tab w:val="right" w:pos="9360"/>
      </w:tabs>
      <w:spacing w:after="0" w:line="240" w:lineRule="auto"/>
    </w:pPr>
    <w:rPr>
      <w:rFonts w:ascii="Arial" w:hAnsi="Arial"/>
      <w:color w:val="1F2933"/>
      <w:sz w:val="21"/>
    </w:rPr>
  </w:style>
  <w:style w:type="character" w:customStyle="1" w:styleId="RodapChar">
    <w:name w:val="Rodapé Char"/>
    <w:basedOn w:val="Fontepargpadro"/>
    <w:link w:val="Rodap1"/>
    <w:uiPriority w:val="99"/>
    <w:rsid w:val="00532E5E"/>
    <w:rPr>
      <w:rFonts w:ascii="Arial" w:hAnsi="Arial"/>
      <w:color w:val="1F2933"/>
      <w:sz w:val="21"/>
    </w:rPr>
  </w:style>
  <w:style w:type="paragraph" w:customStyle="1" w:styleId="Commarcadores1">
    <w:name w:val="Com marcadores1"/>
    <w:basedOn w:val="Normal"/>
    <w:next w:val="Commarcadores"/>
    <w:uiPriority w:val="99"/>
    <w:unhideWhenUsed/>
    <w:rsid w:val="00532E5E"/>
    <w:pPr>
      <w:numPr>
        <w:numId w:val="2"/>
      </w:numPr>
      <w:tabs>
        <w:tab w:val="clear" w:pos="576"/>
      </w:tabs>
      <w:spacing w:after="100" w:line="278" w:lineRule="auto"/>
      <w:ind w:left="0" w:firstLine="0"/>
      <w:contextualSpacing/>
    </w:pPr>
    <w:rPr>
      <w:rFonts w:ascii="Arial" w:hAnsi="Arial"/>
      <w:color w:val="1F2933"/>
      <w:kern w:val="0"/>
      <w:sz w:val="21"/>
      <w:szCs w:val="22"/>
      <w:lang w:eastAsia="en-US"/>
      <w14:ligatures w14:val="none"/>
    </w:rPr>
  </w:style>
  <w:style w:type="paragraph" w:styleId="Cabealho">
    <w:name w:val="header"/>
    <w:basedOn w:val="Normal"/>
    <w:link w:val="CabealhoChar1"/>
    <w:uiPriority w:val="99"/>
    <w:unhideWhenUsed/>
    <w:rsid w:val="00532E5E"/>
    <w:pPr>
      <w:tabs>
        <w:tab w:val="center" w:pos="4252"/>
        <w:tab w:val="right" w:pos="8504"/>
      </w:tabs>
      <w:spacing w:after="0" w:line="240" w:lineRule="auto"/>
    </w:pPr>
  </w:style>
  <w:style w:type="character" w:customStyle="1" w:styleId="CabealhoChar1">
    <w:name w:val="Cabeçalho Char1"/>
    <w:basedOn w:val="Fontepargpadro"/>
    <w:link w:val="Cabealho"/>
    <w:uiPriority w:val="99"/>
    <w:rsid w:val="00532E5E"/>
  </w:style>
  <w:style w:type="paragraph" w:styleId="Rodap">
    <w:name w:val="footer"/>
    <w:basedOn w:val="Normal"/>
    <w:link w:val="RodapChar1"/>
    <w:uiPriority w:val="99"/>
    <w:unhideWhenUsed/>
    <w:rsid w:val="00532E5E"/>
    <w:pPr>
      <w:tabs>
        <w:tab w:val="center" w:pos="4252"/>
        <w:tab w:val="right" w:pos="8504"/>
      </w:tabs>
      <w:spacing w:after="0" w:line="240" w:lineRule="auto"/>
    </w:pPr>
  </w:style>
  <w:style w:type="character" w:customStyle="1" w:styleId="RodapChar1">
    <w:name w:val="Rodapé Char1"/>
    <w:basedOn w:val="Fontepargpadro"/>
    <w:link w:val="Rodap"/>
    <w:uiPriority w:val="99"/>
    <w:rsid w:val="00532E5E"/>
  </w:style>
  <w:style w:type="paragraph" w:styleId="Commarcadores">
    <w:name w:val="List Bullet"/>
    <w:basedOn w:val="Normal"/>
    <w:uiPriority w:val="99"/>
    <w:semiHidden/>
    <w:unhideWhenUsed/>
    <w:rsid w:val="00532E5E"/>
    <w:pPr>
      <w:contextualSpacing/>
    </w:pPr>
  </w:style>
  <w:style w:type="character" w:styleId="Hyperlink">
    <w:name w:val="Hyperlink"/>
    <w:basedOn w:val="Fontepargpadro"/>
    <w:uiPriority w:val="99"/>
    <w:unhideWhenUsed/>
    <w:rsid w:val="00D57C97"/>
    <w:rPr>
      <w:color w:val="467886" w:themeColor="hyperlink"/>
      <w:u w:val="single"/>
    </w:rPr>
  </w:style>
  <w:style w:type="character" w:styleId="MenoPendente">
    <w:name w:val="Unresolved Mention"/>
    <w:basedOn w:val="Fontepargpadro"/>
    <w:uiPriority w:val="99"/>
    <w:semiHidden/>
    <w:unhideWhenUsed/>
    <w:rsid w:val="00D57C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i@invista.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3245</Words>
  <Characters>17524</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Diego Semeraro</dc:creator>
  <cp:keywords/>
  <dc:description/>
  <cp:lastModifiedBy>Cristiane Manzueto</cp:lastModifiedBy>
  <cp:revision>2</cp:revision>
  <dcterms:created xsi:type="dcterms:W3CDTF">2026-10-19T00:22:00Z</dcterms:created>
  <dcterms:modified xsi:type="dcterms:W3CDTF">2026-10-19T00:22:00Z</dcterms:modified>
</cp:coreProperties>
</file>