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E31F8" w14:textId="60B2B5C3" w:rsidR="00CA180B" w:rsidRPr="00F20A67" w:rsidRDefault="00F20A67" w:rsidP="00CA180B">
      <w:pPr>
        <w:jc w:val="center"/>
        <w:rPr>
          <w:rFonts w:ascii="Calibri" w:hAnsi="Calibri" w:cs="Calibri"/>
          <w:b/>
          <w:bCs/>
          <w:sz w:val="28"/>
          <w:szCs w:val="28"/>
        </w:rPr>
      </w:pPr>
      <w:r>
        <w:rPr>
          <w:rFonts w:ascii="Calibri" w:hAnsi="Calibri" w:cs="Calibri"/>
          <w:b/>
          <w:bCs/>
          <w:sz w:val="28"/>
          <w:szCs w:val="28"/>
        </w:rPr>
        <w:t xml:space="preserve">Cookie Policy – </w:t>
      </w:r>
      <w:proofErr w:type="spellStart"/>
      <w:r w:rsidR="002B2CFB">
        <w:rPr>
          <w:rFonts w:ascii="Calibri" w:hAnsi="Calibri" w:cs="Calibri"/>
          <w:b/>
          <w:bCs/>
          <w:sz w:val="28"/>
          <w:szCs w:val="28"/>
        </w:rPr>
        <w:t>i</w:t>
      </w:r>
      <w:r w:rsidR="002B2CFB">
        <w:rPr>
          <w:rFonts w:ascii="Calibri" w:hAnsi="Calibri" w:cs="Calibri"/>
          <w:b/>
          <w:bCs/>
          <w:sz w:val="28"/>
          <w:szCs w:val="28"/>
        </w:rPr>
        <w:t>nVista</w:t>
      </w:r>
      <w:proofErr w:type="spellEnd"/>
      <w:r w:rsidR="002B2CFB">
        <w:rPr>
          <w:rFonts w:ascii="Calibri" w:hAnsi="Calibri" w:cs="Calibri"/>
          <w:b/>
          <w:bCs/>
          <w:sz w:val="28"/>
          <w:szCs w:val="28"/>
        </w:rPr>
        <w:t xml:space="preserve"> </w:t>
      </w:r>
      <w:r>
        <w:rPr>
          <w:rFonts w:ascii="Calibri" w:hAnsi="Calibri" w:cs="Calibri"/>
          <w:b/>
          <w:bCs/>
          <w:sz w:val="28"/>
          <w:szCs w:val="28"/>
        </w:rPr>
        <w:t>Group</w:t>
      </w:r>
    </w:p>
    <w:p w14:paraId="39BB7364" w14:textId="0770D5CD" w:rsidR="00F20A67" w:rsidRPr="00F20A67" w:rsidRDefault="00F20A67" w:rsidP="00F33C33">
      <w:pPr>
        <w:jc w:val="both"/>
        <w:rPr>
          <w:rFonts w:ascii="Calibri" w:hAnsi="Calibri" w:cs="Calibri"/>
        </w:rPr>
      </w:pPr>
      <w:r>
        <w:rPr>
          <w:rFonts w:ascii="Calibri" w:hAnsi="Calibri" w:cs="Calibri"/>
        </w:rPr>
        <w:t xml:space="preserve">This Policy explains how the </w:t>
      </w:r>
      <w:proofErr w:type="spellStart"/>
      <w:r>
        <w:rPr>
          <w:rFonts w:ascii="Calibri" w:hAnsi="Calibri" w:cs="Calibri"/>
        </w:rPr>
        <w:t>inVista</w:t>
      </w:r>
      <w:proofErr w:type="spellEnd"/>
      <w:r>
        <w:rPr>
          <w:rFonts w:ascii="Calibri" w:hAnsi="Calibri" w:cs="Calibri"/>
        </w:rPr>
        <w:t xml:space="preserve"> Group uses cookies and similar technologies on its institutional website. It describes which categories may be used, for which purposes, how the user can accept or reject non-necessary technologies and how to change their preferences.</w:t>
      </w:r>
    </w:p>
    <w:p w14:paraId="674688B6" w14:textId="5FEABCFB" w:rsidR="00F20A67" w:rsidRPr="00F20A67" w:rsidRDefault="00F20A67" w:rsidP="00F33C33">
      <w:pPr>
        <w:jc w:val="both"/>
        <w:rPr>
          <w:rFonts w:ascii="Calibri" w:hAnsi="Calibri" w:cs="Calibri"/>
        </w:rPr>
      </w:pPr>
      <w:r>
        <w:rPr>
          <w:rFonts w:ascii="Calibri" w:hAnsi="Calibri" w:cs="Calibri"/>
        </w:rPr>
        <w:t xml:space="preserve">This Policy should be read together with the </w:t>
      </w:r>
      <w:proofErr w:type="spellStart"/>
      <w:r>
        <w:rPr>
          <w:rFonts w:ascii="Calibri" w:hAnsi="Calibri" w:cs="Calibri"/>
        </w:rPr>
        <w:t>inVista</w:t>
      </w:r>
      <w:proofErr w:type="spellEnd"/>
      <w:r>
        <w:rPr>
          <w:rFonts w:ascii="Calibri" w:hAnsi="Calibri" w:cs="Calibri"/>
        </w:rPr>
        <w:t xml:space="preserve"> Group’s General Privacy Notice, which contains additional information on the processing of personal data, data subjects’ rights and contact channels.</w:t>
      </w:r>
    </w:p>
    <w:p w14:paraId="17F78F9A" w14:textId="77777777" w:rsidR="00F20A67" w:rsidRPr="00F20A67" w:rsidRDefault="00F20A67" w:rsidP="00F33C33">
      <w:pPr>
        <w:jc w:val="both"/>
        <w:rPr>
          <w:rFonts w:ascii="Calibri" w:hAnsi="Calibri" w:cs="Calibri"/>
          <w:b/>
          <w:bCs/>
        </w:rPr>
      </w:pPr>
      <w:r>
        <w:rPr>
          <w:rFonts w:ascii="Calibri" w:hAnsi="Calibri" w:cs="Calibri"/>
          <w:b/>
          <w:bCs/>
        </w:rPr>
        <w:t>1. Who is responsible for the website</w:t>
      </w:r>
    </w:p>
    <w:p w14:paraId="0F4CC67D" w14:textId="1E758BCA" w:rsidR="00F20A67" w:rsidRPr="002B2CFB" w:rsidRDefault="00F20A67" w:rsidP="00F33C33">
      <w:pPr>
        <w:jc w:val="both"/>
        <w:rPr>
          <w:rFonts w:ascii="Calibri" w:hAnsi="Calibri" w:cs="Calibri"/>
          <w:b/>
        </w:rPr>
      </w:pPr>
      <w:r>
        <w:rPr>
          <w:rFonts w:ascii="Calibri" w:hAnsi="Calibri" w:cs="Calibri"/>
        </w:rPr>
        <w:t xml:space="preserve">The </w:t>
      </w:r>
      <w:proofErr w:type="spellStart"/>
      <w:r w:rsidRPr="00E866DA">
        <w:rPr>
          <w:rFonts w:ascii="Calibri" w:hAnsi="Calibri" w:cs="Calibri"/>
          <w:bCs/>
        </w:rPr>
        <w:t>inVista</w:t>
      </w:r>
      <w:proofErr w:type="spellEnd"/>
      <w:r w:rsidRPr="00E866DA">
        <w:rPr>
          <w:rFonts w:ascii="Calibri" w:hAnsi="Calibri" w:cs="Calibri"/>
          <w:bCs/>
        </w:rPr>
        <w:t xml:space="preserve"> Group</w:t>
      </w:r>
      <w:r>
        <w:rPr>
          <w:rFonts w:ascii="Calibri" w:hAnsi="Calibri" w:cs="Calibri"/>
        </w:rPr>
        <w:t xml:space="preserve"> company that manages the website or determines the purposes of a given technology will be the controller of </w:t>
      </w:r>
      <w:proofErr w:type="gramStart"/>
      <w:r>
        <w:rPr>
          <w:rFonts w:ascii="Calibri" w:hAnsi="Calibri" w:cs="Calibri"/>
        </w:rPr>
        <w:t>the personal</w:t>
      </w:r>
      <w:proofErr w:type="gramEnd"/>
      <w:r>
        <w:rPr>
          <w:rFonts w:ascii="Calibri" w:hAnsi="Calibri" w:cs="Calibri"/>
        </w:rPr>
        <w:t xml:space="preserve"> data related to its use. Depending on the activity, other Group companies may act jointly. The identification of the companies that make up the Group is available in the General Privacy Notice.</w:t>
      </w:r>
    </w:p>
    <w:p w14:paraId="0F675E17" w14:textId="42F3DFAB" w:rsidR="00F20A67" w:rsidRPr="00F20A67" w:rsidRDefault="00F20A67" w:rsidP="00F33C33">
      <w:pPr>
        <w:jc w:val="both"/>
        <w:rPr>
          <w:rFonts w:ascii="Calibri" w:hAnsi="Calibri" w:cs="Calibri"/>
        </w:rPr>
      </w:pPr>
      <w:r>
        <w:rPr>
          <w:rFonts w:ascii="Calibri" w:hAnsi="Calibri" w:cs="Calibri"/>
          <w:b/>
        </w:rPr>
        <w:t xml:space="preserve">Privacy channel: </w:t>
      </w:r>
      <w:r>
        <w:rPr>
          <w:rFonts w:ascii="Calibri" w:hAnsi="Calibri" w:cs="Calibri"/>
        </w:rPr>
        <w:t>Gustavo Neves Pontes</w:t>
      </w:r>
      <w:r>
        <w:rPr>
          <w:rFonts w:ascii="Arial" w:eastAsia="Arial" w:hAnsi="Arial" w:cs="Times New Roman"/>
          <w:color w:val="1F2933"/>
          <w:kern w:val="0"/>
          <w:sz w:val="18"/>
          <w:szCs w:val="22"/>
          <w:lang w:eastAsia="en-US"/>
          <w14:ligatures w14:val="none"/>
        </w:rPr>
        <w:t xml:space="preserve"> </w:t>
      </w:r>
      <w:r>
        <w:rPr>
          <w:rFonts w:ascii="Calibri" w:hAnsi="Calibri" w:cs="Calibri"/>
        </w:rPr>
        <w:t xml:space="preserve">/ </w:t>
      </w:r>
      <w:hyperlink r:id="rId7" w:history="1">
        <w:r w:rsidR="00A15E00" w:rsidRPr="00744484">
          <w:rPr>
            <w:rStyle w:val="Hyperlink"/>
            <w:rFonts w:ascii="Calibri" w:hAnsi="Calibri" w:cs="Calibri"/>
          </w:rPr>
          <w:t>ri@invista.me</w:t>
        </w:r>
      </w:hyperlink>
      <w:r>
        <w:rPr>
          <w:rFonts w:ascii="Calibri" w:hAnsi="Calibri" w:cs="Calibri"/>
        </w:rPr>
        <w:t xml:space="preserve"> </w:t>
      </w:r>
    </w:p>
    <w:p w14:paraId="0B914012" w14:textId="77777777" w:rsidR="00F20A67" w:rsidRPr="00F20A67" w:rsidRDefault="00F20A67" w:rsidP="00F33C33">
      <w:pPr>
        <w:jc w:val="both"/>
        <w:rPr>
          <w:rFonts w:ascii="Calibri" w:hAnsi="Calibri" w:cs="Calibri"/>
          <w:b/>
          <w:bCs/>
        </w:rPr>
      </w:pPr>
      <w:r>
        <w:rPr>
          <w:rFonts w:ascii="Calibri" w:hAnsi="Calibri" w:cs="Calibri"/>
          <w:b/>
          <w:bCs/>
        </w:rPr>
        <w:t>2. What cookies and similar technologies are</w:t>
      </w:r>
    </w:p>
    <w:p w14:paraId="5E53B05A" w14:textId="1C5E9ACD" w:rsidR="00F20A67" w:rsidRPr="00F20A67" w:rsidRDefault="00F20A67" w:rsidP="00F33C33">
      <w:pPr>
        <w:jc w:val="both"/>
        <w:rPr>
          <w:rFonts w:ascii="Calibri" w:hAnsi="Calibri" w:cs="Calibri"/>
        </w:rPr>
      </w:pPr>
      <w:r>
        <w:rPr>
          <w:rFonts w:ascii="Calibri" w:hAnsi="Calibri" w:cs="Calibri"/>
        </w:rPr>
        <w:t>Cookies are small files stored in the browser or device while a website is being accessed. They may enable features to work, retain preferences, recognize the browser, measure use of the website or support campaigns. Similar technologies, such as tags, pixels and device identifiers, may perform equivalent functions even without storing a traditional cookie file.</w:t>
      </w:r>
    </w:p>
    <w:p w14:paraId="4BA16747" w14:textId="04497E45" w:rsidR="00F20A67" w:rsidRPr="00F20A67" w:rsidRDefault="00F20A67" w:rsidP="00F33C33">
      <w:pPr>
        <w:jc w:val="both"/>
        <w:rPr>
          <w:rFonts w:ascii="Calibri" w:hAnsi="Calibri" w:cs="Calibri"/>
        </w:rPr>
      </w:pPr>
      <w:r>
        <w:rPr>
          <w:rFonts w:ascii="Calibri" w:hAnsi="Calibri" w:cs="Calibri"/>
        </w:rPr>
        <w:t xml:space="preserve">Cookies may be session cookies, which are normally deleted when the browsing session ends, or persistent cookies, which remain for a set period or until they are deleted. They may also be first-party cookies, when set by the </w:t>
      </w:r>
      <w:proofErr w:type="spellStart"/>
      <w:r>
        <w:rPr>
          <w:rFonts w:ascii="Calibri" w:hAnsi="Calibri" w:cs="Calibri"/>
        </w:rPr>
        <w:t>inVista</w:t>
      </w:r>
      <w:proofErr w:type="spellEnd"/>
      <w:r>
        <w:rPr>
          <w:rFonts w:ascii="Calibri" w:hAnsi="Calibri" w:cs="Calibri"/>
        </w:rPr>
        <w:t xml:space="preserve"> domain, or third-party cookies, when set by another provider.</w:t>
      </w:r>
    </w:p>
    <w:p w14:paraId="0A03EEEE" w14:textId="77777777" w:rsidR="00F20A67" w:rsidRPr="00F20A67" w:rsidRDefault="00F20A67" w:rsidP="00F33C33">
      <w:pPr>
        <w:jc w:val="both"/>
        <w:rPr>
          <w:rFonts w:ascii="Calibri" w:hAnsi="Calibri" w:cs="Calibri"/>
          <w:b/>
          <w:bCs/>
        </w:rPr>
      </w:pPr>
      <w:r>
        <w:rPr>
          <w:rFonts w:ascii="Calibri" w:hAnsi="Calibri" w:cs="Calibri"/>
          <w:b/>
          <w:bCs/>
        </w:rPr>
        <w:t>3. Platforms and integrations used</w:t>
      </w:r>
    </w:p>
    <w:p w14:paraId="53F1D5A9" w14:textId="77777777" w:rsidR="00F20A67" w:rsidRPr="00F20A67" w:rsidRDefault="00F20A67" w:rsidP="00F33C33">
      <w:pPr>
        <w:jc w:val="both"/>
        <w:rPr>
          <w:rFonts w:ascii="Calibri" w:hAnsi="Calibri" w:cs="Calibri"/>
        </w:rPr>
      </w:pPr>
      <w:r>
        <w:rPr>
          <w:rFonts w:ascii="Calibri" w:hAnsi="Calibri" w:cs="Calibri"/>
        </w:rPr>
        <w:t xml:space="preserve">The institutional website is maintained on the </w:t>
      </w:r>
      <w:proofErr w:type="spellStart"/>
      <w:r>
        <w:rPr>
          <w:rFonts w:ascii="Calibri" w:hAnsi="Calibri" w:cs="Calibri"/>
          <w:b/>
        </w:rPr>
        <w:t>Webflow</w:t>
      </w:r>
      <w:proofErr w:type="spellEnd"/>
      <w:r>
        <w:rPr>
          <w:rFonts w:ascii="Calibri" w:hAnsi="Calibri" w:cs="Calibri"/>
        </w:rPr>
        <w:t xml:space="preserve"> platform and has integrations and tags related to </w:t>
      </w:r>
      <w:r>
        <w:rPr>
          <w:rFonts w:ascii="Calibri" w:hAnsi="Calibri" w:cs="Calibri"/>
          <w:b/>
        </w:rPr>
        <w:t>HubSpot</w:t>
      </w:r>
      <w:r>
        <w:rPr>
          <w:rFonts w:ascii="Calibri" w:hAnsi="Calibri" w:cs="Calibri"/>
        </w:rPr>
        <w:t xml:space="preserve">. The contact form sends the information directly to the </w:t>
      </w:r>
      <w:r>
        <w:rPr>
          <w:rFonts w:ascii="Calibri" w:hAnsi="Calibri" w:cs="Calibri"/>
          <w:b/>
          <w:bCs/>
        </w:rPr>
        <w:t>HubSpot</w:t>
      </w:r>
      <w:r>
        <w:rPr>
          <w:rFonts w:ascii="Calibri" w:hAnsi="Calibri" w:cs="Calibri"/>
        </w:rPr>
        <w:t xml:space="preserve"> Forms API. These tools may use cookies or similar technologies depending on the functionality enabled and the user’s choices.</w:t>
      </w:r>
    </w:p>
    <w:p w14:paraId="7F9E8CE2" w14:textId="77777777" w:rsidR="00F20A67" w:rsidRPr="00F20A67" w:rsidRDefault="00F20A67" w:rsidP="00F33C33">
      <w:pPr>
        <w:jc w:val="both"/>
        <w:rPr>
          <w:rFonts w:ascii="Calibri" w:hAnsi="Calibri" w:cs="Calibri"/>
        </w:rPr>
      </w:pPr>
      <w:r>
        <w:rPr>
          <w:rFonts w:ascii="Calibri" w:hAnsi="Calibri" w:cs="Calibri"/>
        </w:rPr>
        <w:t xml:space="preserve">The tools in use may be updated over time. The technologies </w:t>
      </w:r>
      <w:proofErr w:type="gramStart"/>
      <w:r>
        <w:rPr>
          <w:rFonts w:ascii="Calibri" w:hAnsi="Calibri" w:cs="Calibri"/>
        </w:rPr>
        <w:t>actually active</w:t>
      </w:r>
      <w:proofErr w:type="gramEnd"/>
      <w:r>
        <w:rPr>
          <w:rFonts w:ascii="Calibri" w:hAnsi="Calibri" w:cs="Calibri"/>
        </w:rPr>
        <w:t>, their providers, their purposes and their duration periods should be presented in the preference management mechanism available on the website.</w:t>
      </w:r>
    </w:p>
    <w:p w14:paraId="008FA7CD" w14:textId="77777777" w:rsidR="00F20A67" w:rsidRPr="00F20A67" w:rsidRDefault="00F20A67" w:rsidP="00F33C33">
      <w:pPr>
        <w:jc w:val="both"/>
        <w:rPr>
          <w:rFonts w:ascii="Calibri" w:hAnsi="Calibri" w:cs="Calibri"/>
          <w:b/>
          <w:bCs/>
        </w:rPr>
      </w:pPr>
      <w:r>
        <w:rPr>
          <w:rFonts w:ascii="Calibri" w:hAnsi="Calibri" w:cs="Calibri"/>
          <w:b/>
          <w:bCs/>
        </w:rPr>
        <w:t>4. Cookie categories</w:t>
      </w:r>
    </w:p>
    <w:p w14:paraId="222513F4" w14:textId="77777777" w:rsidR="00F20A67" w:rsidRPr="00F20A67" w:rsidRDefault="00F20A67" w:rsidP="00F33C33">
      <w:pPr>
        <w:jc w:val="both"/>
        <w:rPr>
          <w:rFonts w:ascii="Calibri" w:hAnsi="Calibri" w:cs="Calibri"/>
        </w:rPr>
      </w:pPr>
      <w:r>
        <w:rPr>
          <w:rFonts w:ascii="Calibri" w:hAnsi="Calibri" w:cs="Calibri"/>
        </w:rPr>
        <w:t xml:space="preserve">The technologies used, or that may be enabled, on the website are organized into the categories below. The classification should </w:t>
      </w:r>
      <w:proofErr w:type="gramStart"/>
      <w:r>
        <w:rPr>
          <w:rFonts w:ascii="Calibri" w:hAnsi="Calibri" w:cs="Calibri"/>
        </w:rPr>
        <w:t>take into account</w:t>
      </w:r>
      <w:proofErr w:type="gramEnd"/>
      <w:r>
        <w:rPr>
          <w:rFonts w:ascii="Calibri" w:hAnsi="Calibri" w:cs="Calibri"/>
        </w:rPr>
        <w:t xml:space="preserve"> the actual purpose of each technology, and not only the name assigned to it by the provider.</w:t>
      </w:r>
    </w:p>
    <w:tbl>
      <w:tblPr>
        <w:tblW w:w="0" w:type="auto"/>
        <w:jc w:val="center"/>
        <w:tblLayout w:type="fixed"/>
        <w:tblLook w:val="04A0" w:firstRow="1" w:lastRow="0" w:firstColumn="1" w:lastColumn="0" w:noHBand="0" w:noVBand="1"/>
      </w:tblPr>
      <w:tblGrid>
        <w:gridCol w:w="1944"/>
        <w:gridCol w:w="3816"/>
        <w:gridCol w:w="1800"/>
        <w:gridCol w:w="2376"/>
      </w:tblGrid>
      <w:tr w:rsidR="00F20A67" w:rsidRPr="00F20A67" w14:paraId="6CFE4ADF" w14:textId="77777777" w:rsidTr="0037676C">
        <w:trPr>
          <w:cantSplit/>
          <w:tblHeader/>
          <w:jc w:val="center"/>
        </w:trPr>
        <w:tc>
          <w:tcPr>
            <w:tcW w:w="1944" w:type="dxa"/>
            <w:tcBorders>
              <w:top w:val="single" w:sz="6" w:space="0" w:color="D9E2E8"/>
              <w:left w:val="single" w:sz="6" w:space="0" w:color="D9E2E8"/>
              <w:bottom w:val="single" w:sz="6" w:space="0" w:color="D9E2E8"/>
              <w:right w:val="single" w:sz="6" w:space="0" w:color="D9E2E8"/>
            </w:tcBorders>
            <w:shd w:val="clear" w:color="auto" w:fill="163A5F"/>
            <w:tcMar>
              <w:top w:w="120" w:type="dxa"/>
              <w:left w:w="130" w:type="dxa"/>
              <w:bottom w:w="120" w:type="dxa"/>
              <w:right w:w="130" w:type="dxa"/>
            </w:tcMar>
            <w:vAlign w:val="center"/>
          </w:tcPr>
          <w:p w14:paraId="037B3F21" w14:textId="77777777" w:rsidR="00F20A67" w:rsidRPr="00F20A67" w:rsidRDefault="00F20A67" w:rsidP="00B43DA9">
            <w:pPr>
              <w:jc w:val="center"/>
              <w:rPr>
                <w:rFonts w:ascii="Calibri" w:hAnsi="Calibri" w:cs="Calibri"/>
              </w:rPr>
            </w:pPr>
            <w:r>
              <w:rPr>
                <w:rFonts w:ascii="Calibri" w:hAnsi="Calibri" w:cs="Calibri"/>
                <w:b/>
              </w:rPr>
              <w:lastRenderedPageBreak/>
              <w:t>Category</w:t>
            </w:r>
          </w:p>
        </w:tc>
        <w:tc>
          <w:tcPr>
            <w:tcW w:w="3816" w:type="dxa"/>
            <w:tcBorders>
              <w:top w:val="single" w:sz="6" w:space="0" w:color="D9E2E8"/>
              <w:left w:val="single" w:sz="6" w:space="0" w:color="D9E2E8"/>
              <w:bottom w:val="single" w:sz="6" w:space="0" w:color="D9E2E8"/>
              <w:right w:val="single" w:sz="6" w:space="0" w:color="D9E2E8"/>
            </w:tcBorders>
            <w:shd w:val="clear" w:color="auto" w:fill="163A5F"/>
            <w:tcMar>
              <w:top w:w="120" w:type="dxa"/>
              <w:left w:w="130" w:type="dxa"/>
              <w:bottom w:w="120" w:type="dxa"/>
              <w:right w:w="130" w:type="dxa"/>
            </w:tcMar>
            <w:vAlign w:val="center"/>
          </w:tcPr>
          <w:p w14:paraId="2A31788B" w14:textId="77777777" w:rsidR="00F20A67" w:rsidRPr="00F20A67" w:rsidRDefault="00F20A67" w:rsidP="00B43DA9">
            <w:pPr>
              <w:jc w:val="center"/>
              <w:rPr>
                <w:rFonts w:ascii="Calibri" w:hAnsi="Calibri" w:cs="Calibri"/>
              </w:rPr>
            </w:pPr>
            <w:r>
              <w:rPr>
                <w:rFonts w:ascii="Calibri" w:hAnsi="Calibri" w:cs="Calibri"/>
                <w:b/>
              </w:rPr>
              <w:t>Purposes</w:t>
            </w:r>
          </w:p>
        </w:tc>
        <w:tc>
          <w:tcPr>
            <w:tcW w:w="1800" w:type="dxa"/>
            <w:tcBorders>
              <w:top w:val="single" w:sz="6" w:space="0" w:color="D9E2E8"/>
              <w:left w:val="single" w:sz="6" w:space="0" w:color="D9E2E8"/>
              <w:bottom w:val="single" w:sz="6" w:space="0" w:color="D9E2E8"/>
              <w:right w:val="single" w:sz="6" w:space="0" w:color="D9E2E8"/>
            </w:tcBorders>
            <w:shd w:val="clear" w:color="auto" w:fill="163A5F"/>
            <w:tcMar>
              <w:top w:w="120" w:type="dxa"/>
              <w:left w:w="130" w:type="dxa"/>
              <w:bottom w:w="120" w:type="dxa"/>
              <w:right w:w="130" w:type="dxa"/>
            </w:tcMar>
            <w:vAlign w:val="center"/>
          </w:tcPr>
          <w:p w14:paraId="46EA3A62" w14:textId="77777777" w:rsidR="00F20A67" w:rsidRPr="00F20A67" w:rsidRDefault="00F20A67" w:rsidP="00B43DA9">
            <w:pPr>
              <w:jc w:val="center"/>
              <w:rPr>
                <w:rFonts w:ascii="Calibri" w:hAnsi="Calibri" w:cs="Calibri"/>
              </w:rPr>
            </w:pPr>
            <w:r>
              <w:rPr>
                <w:rFonts w:ascii="Calibri" w:hAnsi="Calibri" w:cs="Calibri"/>
                <w:b/>
              </w:rPr>
              <w:t>Activation</w:t>
            </w:r>
          </w:p>
        </w:tc>
        <w:tc>
          <w:tcPr>
            <w:tcW w:w="2376" w:type="dxa"/>
            <w:tcBorders>
              <w:top w:val="single" w:sz="6" w:space="0" w:color="D9E2E8"/>
              <w:left w:val="single" w:sz="6" w:space="0" w:color="D9E2E8"/>
              <w:bottom w:val="single" w:sz="6" w:space="0" w:color="D9E2E8"/>
              <w:right w:val="single" w:sz="6" w:space="0" w:color="D9E2E8"/>
            </w:tcBorders>
            <w:shd w:val="clear" w:color="auto" w:fill="163A5F"/>
            <w:tcMar>
              <w:top w:w="120" w:type="dxa"/>
              <w:left w:w="130" w:type="dxa"/>
              <w:bottom w:w="120" w:type="dxa"/>
              <w:right w:w="130" w:type="dxa"/>
            </w:tcMar>
            <w:vAlign w:val="center"/>
          </w:tcPr>
          <w:p w14:paraId="22CEA78B" w14:textId="77777777" w:rsidR="00F20A67" w:rsidRPr="00F20A67" w:rsidRDefault="00F20A67" w:rsidP="00B43DA9">
            <w:pPr>
              <w:jc w:val="center"/>
              <w:rPr>
                <w:rFonts w:ascii="Calibri" w:hAnsi="Calibri" w:cs="Calibri"/>
              </w:rPr>
            </w:pPr>
            <w:r>
              <w:rPr>
                <w:rFonts w:ascii="Calibri" w:hAnsi="Calibri" w:cs="Calibri"/>
                <w:b/>
              </w:rPr>
              <w:t>Legal basis</w:t>
            </w:r>
          </w:p>
        </w:tc>
      </w:tr>
      <w:tr w:rsidR="00F20A67" w:rsidRPr="00F20A67" w14:paraId="795E1AC5" w14:textId="77777777" w:rsidTr="0037676C">
        <w:trPr>
          <w:cantSplit/>
          <w:jc w:val="center"/>
        </w:trPr>
        <w:tc>
          <w:tcPr>
            <w:tcW w:w="1944"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728B42DF" w14:textId="77777777" w:rsidR="00F20A67" w:rsidRPr="00F20A67" w:rsidRDefault="00F20A67" w:rsidP="00B43DA9">
            <w:pPr>
              <w:jc w:val="center"/>
              <w:rPr>
                <w:rFonts w:ascii="Calibri" w:hAnsi="Calibri" w:cs="Calibri"/>
              </w:rPr>
            </w:pPr>
            <w:r>
              <w:rPr>
                <w:rFonts w:ascii="Calibri" w:hAnsi="Calibri" w:cs="Calibri"/>
                <w:b/>
              </w:rPr>
              <w:t>Strictly necessary</w:t>
            </w:r>
          </w:p>
        </w:tc>
        <w:tc>
          <w:tcPr>
            <w:tcW w:w="3816"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63915A93" w14:textId="77777777" w:rsidR="00F20A67" w:rsidRPr="00F20A67" w:rsidRDefault="00F20A67" w:rsidP="00B43DA9">
            <w:pPr>
              <w:jc w:val="center"/>
              <w:rPr>
                <w:rFonts w:ascii="Calibri" w:hAnsi="Calibri" w:cs="Calibri"/>
              </w:rPr>
            </w:pPr>
            <w:r>
              <w:rPr>
                <w:rFonts w:ascii="Calibri" w:hAnsi="Calibri" w:cs="Calibri"/>
              </w:rPr>
              <w:t>Website operation and security, session maintenance, error prevention, form submission and provision of requested functionalities.</w:t>
            </w:r>
          </w:p>
        </w:tc>
        <w:tc>
          <w:tcPr>
            <w:tcW w:w="1800"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5A4C9317" w14:textId="77777777" w:rsidR="00F20A67" w:rsidRPr="00F20A67" w:rsidRDefault="00F20A67" w:rsidP="00B43DA9">
            <w:pPr>
              <w:jc w:val="center"/>
              <w:rPr>
                <w:rFonts w:ascii="Calibri" w:hAnsi="Calibri" w:cs="Calibri"/>
              </w:rPr>
            </w:pPr>
            <w:r>
              <w:rPr>
                <w:rFonts w:ascii="Calibri" w:hAnsi="Calibri" w:cs="Calibri"/>
              </w:rPr>
              <w:t>Always active</w:t>
            </w:r>
          </w:p>
        </w:tc>
        <w:tc>
          <w:tcPr>
            <w:tcW w:w="2376"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46B3C374" w14:textId="1B922F5C" w:rsidR="00F20A67" w:rsidRPr="00F20A67" w:rsidRDefault="00F20A67" w:rsidP="00B43DA9">
            <w:pPr>
              <w:jc w:val="center"/>
              <w:rPr>
                <w:rFonts w:ascii="Calibri" w:hAnsi="Calibri" w:cs="Calibri"/>
              </w:rPr>
            </w:pPr>
            <w:r>
              <w:rPr>
                <w:rFonts w:ascii="Calibri" w:hAnsi="Calibri" w:cs="Calibri"/>
              </w:rPr>
              <w:t>Legitimate interest</w:t>
            </w:r>
          </w:p>
        </w:tc>
      </w:tr>
      <w:tr w:rsidR="00F20A67" w:rsidRPr="00F20A67" w14:paraId="612769DE" w14:textId="77777777" w:rsidTr="0037676C">
        <w:trPr>
          <w:cantSplit/>
          <w:jc w:val="center"/>
        </w:trPr>
        <w:tc>
          <w:tcPr>
            <w:tcW w:w="1944"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2A35EB68" w14:textId="77777777" w:rsidR="00F20A67" w:rsidRPr="00F20A67" w:rsidRDefault="00F20A67" w:rsidP="00B43DA9">
            <w:pPr>
              <w:jc w:val="center"/>
              <w:rPr>
                <w:rFonts w:ascii="Calibri" w:hAnsi="Calibri" w:cs="Calibri"/>
              </w:rPr>
            </w:pPr>
            <w:r>
              <w:rPr>
                <w:rFonts w:ascii="Calibri" w:hAnsi="Calibri" w:cs="Calibri"/>
                <w:b/>
              </w:rPr>
              <w:t>Analytics and performance</w:t>
            </w:r>
          </w:p>
        </w:tc>
        <w:tc>
          <w:tcPr>
            <w:tcW w:w="3816"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7194C7B9" w14:textId="77777777" w:rsidR="00F20A67" w:rsidRPr="00F20A67" w:rsidRDefault="00F20A67" w:rsidP="00B43DA9">
            <w:pPr>
              <w:jc w:val="center"/>
              <w:rPr>
                <w:rFonts w:ascii="Calibri" w:hAnsi="Calibri" w:cs="Calibri"/>
              </w:rPr>
            </w:pPr>
            <w:r>
              <w:rPr>
                <w:rFonts w:ascii="Calibri" w:hAnsi="Calibri" w:cs="Calibri"/>
              </w:rPr>
              <w:t>Understanding browsing, producing audience metrics, identifying the most visited pages, errors and website performance.</w:t>
            </w:r>
          </w:p>
        </w:tc>
        <w:tc>
          <w:tcPr>
            <w:tcW w:w="1800"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73BF0754" w14:textId="77777777" w:rsidR="00F20A67" w:rsidRPr="00F20A67" w:rsidRDefault="00F20A67" w:rsidP="00B43DA9">
            <w:pPr>
              <w:jc w:val="center"/>
              <w:rPr>
                <w:rFonts w:ascii="Calibri" w:hAnsi="Calibri" w:cs="Calibri"/>
              </w:rPr>
            </w:pPr>
            <w:r>
              <w:rPr>
                <w:rFonts w:ascii="Calibri" w:hAnsi="Calibri" w:cs="Calibri"/>
              </w:rPr>
              <w:t>After consent</w:t>
            </w:r>
          </w:p>
        </w:tc>
        <w:tc>
          <w:tcPr>
            <w:tcW w:w="2376"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02891CED" w14:textId="466A69CE" w:rsidR="00F20A67" w:rsidRPr="00F20A67" w:rsidRDefault="00F20A67" w:rsidP="00B43DA9">
            <w:pPr>
              <w:jc w:val="center"/>
              <w:rPr>
                <w:rFonts w:ascii="Calibri" w:hAnsi="Calibri" w:cs="Calibri"/>
              </w:rPr>
            </w:pPr>
            <w:r>
              <w:rPr>
                <w:rFonts w:ascii="Calibri" w:hAnsi="Calibri" w:cs="Calibri"/>
              </w:rPr>
              <w:t>Consent</w:t>
            </w:r>
          </w:p>
        </w:tc>
      </w:tr>
      <w:tr w:rsidR="00F20A67" w:rsidRPr="00F20A67" w14:paraId="72EF3A7B" w14:textId="77777777" w:rsidTr="0037676C">
        <w:trPr>
          <w:cantSplit/>
          <w:jc w:val="center"/>
        </w:trPr>
        <w:tc>
          <w:tcPr>
            <w:tcW w:w="1944"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40154537" w14:textId="77777777" w:rsidR="00F20A67" w:rsidRPr="00F20A67" w:rsidRDefault="00F20A67" w:rsidP="00B43DA9">
            <w:pPr>
              <w:jc w:val="center"/>
              <w:rPr>
                <w:rFonts w:ascii="Calibri" w:hAnsi="Calibri" w:cs="Calibri"/>
              </w:rPr>
            </w:pPr>
            <w:r>
              <w:rPr>
                <w:rFonts w:ascii="Calibri" w:hAnsi="Calibri" w:cs="Calibri"/>
                <w:b/>
              </w:rPr>
              <w:t>Functionality and personalization</w:t>
            </w:r>
          </w:p>
        </w:tc>
        <w:tc>
          <w:tcPr>
            <w:tcW w:w="3816"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0B0D181D" w14:textId="77777777" w:rsidR="00F20A67" w:rsidRPr="00F20A67" w:rsidRDefault="00F20A67" w:rsidP="00B43DA9">
            <w:pPr>
              <w:jc w:val="center"/>
              <w:rPr>
                <w:rFonts w:ascii="Calibri" w:hAnsi="Calibri" w:cs="Calibri"/>
              </w:rPr>
            </w:pPr>
            <w:r>
              <w:rPr>
                <w:rFonts w:ascii="Calibri" w:hAnsi="Calibri" w:cs="Calibri"/>
              </w:rPr>
              <w:t>Remembering choices, adapting the experience and personalizing content according to preferences or interactions.</w:t>
            </w:r>
          </w:p>
        </w:tc>
        <w:tc>
          <w:tcPr>
            <w:tcW w:w="1800"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1062CECE" w14:textId="77777777" w:rsidR="00F20A67" w:rsidRPr="00F20A67" w:rsidRDefault="00F20A67" w:rsidP="00B43DA9">
            <w:pPr>
              <w:jc w:val="center"/>
              <w:rPr>
                <w:rFonts w:ascii="Calibri" w:hAnsi="Calibri" w:cs="Calibri"/>
              </w:rPr>
            </w:pPr>
            <w:r>
              <w:rPr>
                <w:rFonts w:ascii="Calibri" w:hAnsi="Calibri" w:cs="Calibri"/>
              </w:rPr>
              <w:t>After consent</w:t>
            </w:r>
          </w:p>
        </w:tc>
        <w:tc>
          <w:tcPr>
            <w:tcW w:w="2376" w:type="dxa"/>
            <w:tcBorders>
              <w:top w:val="single" w:sz="6" w:space="0" w:color="D9E2E8"/>
              <w:left w:val="single" w:sz="6" w:space="0" w:color="D9E2E8"/>
              <w:bottom w:val="single" w:sz="6" w:space="0" w:color="D9E2E8"/>
              <w:right w:val="single" w:sz="6" w:space="0" w:color="D9E2E8"/>
            </w:tcBorders>
            <w:tcMar>
              <w:top w:w="110" w:type="dxa"/>
              <w:left w:w="130" w:type="dxa"/>
              <w:bottom w:w="110" w:type="dxa"/>
              <w:right w:w="130" w:type="dxa"/>
            </w:tcMar>
            <w:vAlign w:val="center"/>
          </w:tcPr>
          <w:p w14:paraId="39A46624" w14:textId="44D0D315" w:rsidR="00F20A67" w:rsidRPr="00F20A67" w:rsidRDefault="00F20A67" w:rsidP="00B43DA9">
            <w:pPr>
              <w:jc w:val="center"/>
              <w:rPr>
                <w:rFonts w:ascii="Calibri" w:hAnsi="Calibri" w:cs="Calibri"/>
              </w:rPr>
            </w:pPr>
            <w:r>
              <w:rPr>
                <w:rFonts w:ascii="Calibri" w:hAnsi="Calibri" w:cs="Calibri"/>
              </w:rPr>
              <w:t>Consent</w:t>
            </w:r>
          </w:p>
        </w:tc>
      </w:tr>
      <w:tr w:rsidR="00F20A67" w:rsidRPr="00F20A67" w14:paraId="61D87394" w14:textId="77777777" w:rsidTr="0037676C">
        <w:trPr>
          <w:cantSplit/>
          <w:jc w:val="center"/>
        </w:trPr>
        <w:tc>
          <w:tcPr>
            <w:tcW w:w="1944"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5EA384DB" w14:textId="77777777" w:rsidR="00F20A67" w:rsidRPr="00F20A67" w:rsidRDefault="00F20A67" w:rsidP="00B43DA9">
            <w:pPr>
              <w:jc w:val="center"/>
              <w:rPr>
                <w:rFonts w:ascii="Calibri" w:hAnsi="Calibri" w:cs="Calibri"/>
              </w:rPr>
            </w:pPr>
            <w:r>
              <w:rPr>
                <w:rFonts w:ascii="Calibri" w:hAnsi="Calibri" w:cs="Calibri"/>
                <w:b/>
              </w:rPr>
              <w:t>Advertising</w:t>
            </w:r>
          </w:p>
        </w:tc>
        <w:tc>
          <w:tcPr>
            <w:tcW w:w="3816"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422CAF48" w14:textId="77777777" w:rsidR="00F20A67" w:rsidRPr="00F20A67" w:rsidRDefault="00F20A67" w:rsidP="00B43DA9">
            <w:pPr>
              <w:jc w:val="center"/>
              <w:rPr>
                <w:rFonts w:ascii="Calibri" w:hAnsi="Calibri" w:cs="Calibri"/>
              </w:rPr>
            </w:pPr>
            <w:r>
              <w:rPr>
                <w:rFonts w:ascii="Calibri" w:hAnsi="Calibri" w:cs="Calibri"/>
              </w:rPr>
              <w:t>Creating or integrating audiences, measuring campaigns, personalizing ads, carrying out targeted advertising, profiling or remarketing.</w:t>
            </w:r>
          </w:p>
        </w:tc>
        <w:tc>
          <w:tcPr>
            <w:tcW w:w="1800"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474D424F" w14:textId="77777777" w:rsidR="00F20A67" w:rsidRPr="00F20A67" w:rsidRDefault="00F20A67" w:rsidP="00B43DA9">
            <w:pPr>
              <w:jc w:val="center"/>
              <w:rPr>
                <w:rFonts w:ascii="Calibri" w:hAnsi="Calibri" w:cs="Calibri"/>
              </w:rPr>
            </w:pPr>
            <w:r>
              <w:rPr>
                <w:rFonts w:ascii="Calibri" w:hAnsi="Calibri" w:cs="Calibri"/>
              </w:rPr>
              <w:t>After consent</w:t>
            </w:r>
          </w:p>
        </w:tc>
        <w:tc>
          <w:tcPr>
            <w:tcW w:w="2376" w:type="dxa"/>
            <w:tcBorders>
              <w:top w:val="single" w:sz="6" w:space="0" w:color="D9E2E8"/>
              <w:left w:val="single" w:sz="6" w:space="0" w:color="D9E2E8"/>
              <w:bottom w:val="single" w:sz="6" w:space="0" w:color="D9E2E8"/>
              <w:right w:val="single" w:sz="6" w:space="0" w:color="D9E2E8"/>
            </w:tcBorders>
            <w:shd w:val="clear" w:color="auto" w:fill="F7F9FB"/>
            <w:tcMar>
              <w:top w:w="110" w:type="dxa"/>
              <w:left w:w="130" w:type="dxa"/>
              <w:bottom w:w="110" w:type="dxa"/>
              <w:right w:w="130" w:type="dxa"/>
            </w:tcMar>
            <w:vAlign w:val="center"/>
          </w:tcPr>
          <w:p w14:paraId="79F5B2C7" w14:textId="4DCDF9E0" w:rsidR="00F20A67" w:rsidRPr="00F20A67" w:rsidRDefault="00F20A67" w:rsidP="00B43DA9">
            <w:pPr>
              <w:jc w:val="center"/>
              <w:rPr>
                <w:rFonts w:ascii="Calibri" w:hAnsi="Calibri" w:cs="Calibri"/>
              </w:rPr>
            </w:pPr>
            <w:r>
              <w:rPr>
                <w:rFonts w:ascii="Calibri" w:hAnsi="Calibri" w:cs="Calibri"/>
              </w:rPr>
              <w:t>Consent</w:t>
            </w:r>
          </w:p>
        </w:tc>
      </w:tr>
    </w:tbl>
    <w:p w14:paraId="47D6D533" w14:textId="77777777" w:rsidR="00F20A67" w:rsidRPr="00F20A67" w:rsidRDefault="00F20A67" w:rsidP="00F20A67">
      <w:pPr>
        <w:rPr>
          <w:rFonts w:ascii="Calibri" w:hAnsi="Calibri" w:cs="Calibri"/>
        </w:rPr>
      </w:pPr>
    </w:p>
    <w:p w14:paraId="17BDD69A" w14:textId="77777777" w:rsidR="00F20A67" w:rsidRPr="00F20A67" w:rsidRDefault="00F20A67" w:rsidP="00F33C33">
      <w:pPr>
        <w:jc w:val="both"/>
        <w:rPr>
          <w:rFonts w:ascii="Calibri" w:hAnsi="Calibri" w:cs="Calibri"/>
          <w:b/>
          <w:bCs/>
        </w:rPr>
      </w:pPr>
      <w:r>
        <w:rPr>
          <w:rFonts w:ascii="Calibri" w:hAnsi="Calibri" w:cs="Calibri"/>
          <w:b/>
          <w:bCs/>
        </w:rPr>
        <w:t>5. Data processed through these technologies</w:t>
      </w:r>
    </w:p>
    <w:p w14:paraId="68DE99F3" w14:textId="77777777" w:rsidR="00F20A67" w:rsidRPr="00F20A67" w:rsidRDefault="00F20A67" w:rsidP="00F33C33">
      <w:pPr>
        <w:jc w:val="both"/>
        <w:rPr>
          <w:rFonts w:ascii="Calibri" w:hAnsi="Calibri" w:cs="Calibri"/>
        </w:rPr>
      </w:pPr>
      <w:r>
        <w:rPr>
          <w:rFonts w:ascii="Calibri" w:hAnsi="Calibri" w:cs="Calibri"/>
        </w:rPr>
        <w:t>Depending on the technology and the configuration adopted, the following may be processed:</w:t>
      </w:r>
    </w:p>
    <w:p w14:paraId="3EC4EE79" w14:textId="77777777" w:rsidR="00F20A67" w:rsidRPr="00F20A67" w:rsidRDefault="00F20A67" w:rsidP="00F33C33">
      <w:pPr>
        <w:pStyle w:val="PargrafodaLista"/>
        <w:numPr>
          <w:ilvl w:val="0"/>
          <w:numId w:val="1"/>
        </w:numPr>
        <w:jc w:val="both"/>
        <w:rPr>
          <w:rFonts w:ascii="Calibri" w:hAnsi="Calibri" w:cs="Calibri"/>
        </w:rPr>
      </w:pPr>
      <w:r>
        <w:rPr>
          <w:rFonts w:ascii="Calibri" w:hAnsi="Calibri" w:cs="Calibri"/>
        </w:rPr>
        <w:t>IP address, date and time of access and approximate location derived from the IP address;</w:t>
      </w:r>
    </w:p>
    <w:p w14:paraId="23FD60B7" w14:textId="77777777" w:rsidR="00F20A67" w:rsidRPr="00F20A67" w:rsidRDefault="00F20A67" w:rsidP="00F33C33">
      <w:pPr>
        <w:pStyle w:val="PargrafodaLista"/>
        <w:numPr>
          <w:ilvl w:val="0"/>
          <w:numId w:val="1"/>
        </w:numPr>
        <w:jc w:val="both"/>
        <w:rPr>
          <w:rFonts w:ascii="Calibri" w:hAnsi="Calibri" w:cs="Calibri"/>
        </w:rPr>
      </w:pPr>
      <w:r>
        <w:rPr>
          <w:rFonts w:ascii="Calibri" w:hAnsi="Calibri" w:cs="Calibri"/>
        </w:rPr>
        <w:t>browser type and version, operating system, language and device characteristics;</w:t>
      </w:r>
    </w:p>
    <w:p w14:paraId="4A740E44" w14:textId="77777777" w:rsidR="00F20A67" w:rsidRPr="00F20A67" w:rsidRDefault="00F20A67" w:rsidP="00F33C33">
      <w:pPr>
        <w:pStyle w:val="PargrafodaLista"/>
        <w:numPr>
          <w:ilvl w:val="0"/>
          <w:numId w:val="1"/>
        </w:numPr>
        <w:jc w:val="both"/>
        <w:rPr>
          <w:rFonts w:ascii="Calibri" w:hAnsi="Calibri" w:cs="Calibri"/>
        </w:rPr>
      </w:pPr>
      <w:r>
        <w:rPr>
          <w:rFonts w:ascii="Calibri" w:hAnsi="Calibri" w:cs="Calibri"/>
        </w:rPr>
        <w:t>cookie, session, browser or device identifiers;</w:t>
      </w:r>
    </w:p>
    <w:p w14:paraId="615432F9" w14:textId="77777777" w:rsidR="00F20A67" w:rsidRPr="00F20A67" w:rsidRDefault="00F20A67" w:rsidP="00F33C33">
      <w:pPr>
        <w:pStyle w:val="PargrafodaLista"/>
        <w:numPr>
          <w:ilvl w:val="0"/>
          <w:numId w:val="1"/>
        </w:numPr>
        <w:jc w:val="both"/>
        <w:rPr>
          <w:rFonts w:ascii="Calibri" w:hAnsi="Calibri" w:cs="Calibri"/>
        </w:rPr>
      </w:pPr>
      <w:r>
        <w:rPr>
          <w:rFonts w:ascii="Calibri" w:hAnsi="Calibri" w:cs="Calibri"/>
        </w:rPr>
        <w:t>pages accessed, source of access, browsing time, clicks, errors and interactions; and</w:t>
      </w:r>
    </w:p>
    <w:p w14:paraId="53477A1D" w14:textId="4C8D20E5" w:rsidR="00F20A67" w:rsidRPr="00F20A67" w:rsidRDefault="00F20A67" w:rsidP="00F33C33">
      <w:pPr>
        <w:pStyle w:val="PargrafodaLista"/>
        <w:numPr>
          <w:ilvl w:val="0"/>
          <w:numId w:val="1"/>
        </w:numPr>
        <w:jc w:val="both"/>
        <w:rPr>
          <w:rFonts w:ascii="Calibri" w:hAnsi="Calibri" w:cs="Calibri"/>
        </w:rPr>
      </w:pPr>
      <w:r>
        <w:rPr>
          <w:rFonts w:ascii="Calibri" w:hAnsi="Calibri" w:cs="Calibri"/>
        </w:rPr>
        <w:t>information related to the opening of communications and the measurement of campaigns, when authorized.</w:t>
      </w:r>
    </w:p>
    <w:p w14:paraId="0CB91E93" w14:textId="77777777" w:rsidR="00F20A67" w:rsidRPr="00F20A67" w:rsidRDefault="00F20A67" w:rsidP="00F33C33">
      <w:pPr>
        <w:pStyle w:val="PargrafodaLista"/>
        <w:jc w:val="both"/>
        <w:rPr>
          <w:rFonts w:ascii="Calibri" w:hAnsi="Calibri" w:cs="Calibri"/>
        </w:rPr>
      </w:pPr>
    </w:p>
    <w:p w14:paraId="664D8C42" w14:textId="0EC0509F" w:rsidR="00F20A67" w:rsidRPr="00F20A67" w:rsidRDefault="00F20A67" w:rsidP="00F33C33">
      <w:pPr>
        <w:jc w:val="both"/>
        <w:rPr>
          <w:rFonts w:ascii="Calibri" w:hAnsi="Calibri" w:cs="Calibri"/>
          <w:b/>
          <w:bCs/>
        </w:rPr>
      </w:pPr>
      <w:r>
        <w:rPr>
          <w:rFonts w:ascii="Calibri" w:hAnsi="Calibri" w:cs="Calibri"/>
          <w:b/>
          <w:bCs/>
        </w:rPr>
        <w:t>6. How to change or withdraw preferences</w:t>
      </w:r>
    </w:p>
    <w:p w14:paraId="480AB8FC" w14:textId="77777777" w:rsidR="00F20A67" w:rsidRPr="00F20A67" w:rsidRDefault="00F20A67" w:rsidP="00F33C33">
      <w:pPr>
        <w:jc w:val="both"/>
        <w:rPr>
          <w:rFonts w:ascii="Calibri" w:hAnsi="Calibri" w:cs="Calibri"/>
        </w:rPr>
      </w:pPr>
      <w:r>
        <w:rPr>
          <w:rFonts w:ascii="Calibri" w:hAnsi="Calibri" w:cs="Calibri"/>
        </w:rPr>
        <w:t>The user may change their choices at any time through the cookie preference mechanism made available on the website. Withdrawal will take effect for the future and will not affect processing validly carried out before the change.</w:t>
      </w:r>
    </w:p>
    <w:p w14:paraId="5E6782CC" w14:textId="77777777" w:rsidR="00F20A67" w:rsidRPr="00F20A67" w:rsidRDefault="00F20A67" w:rsidP="00F33C33">
      <w:pPr>
        <w:jc w:val="both"/>
        <w:rPr>
          <w:rFonts w:ascii="Calibri" w:hAnsi="Calibri" w:cs="Calibri"/>
        </w:rPr>
      </w:pPr>
      <w:r>
        <w:rPr>
          <w:rFonts w:ascii="Calibri" w:hAnsi="Calibri" w:cs="Calibri"/>
        </w:rPr>
        <w:lastRenderedPageBreak/>
        <w:t>It is also possible to block or delete cookies directly in the browser settings. Disabling strictly necessary cookies may impair essential features, such as security, session maintenance and form submission.</w:t>
      </w:r>
    </w:p>
    <w:p w14:paraId="4411B17D" w14:textId="217427DB" w:rsidR="00F20A67" w:rsidRPr="00F20A67" w:rsidRDefault="00F20A67" w:rsidP="00F33C33">
      <w:pPr>
        <w:jc w:val="both"/>
        <w:rPr>
          <w:rFonts w:ascii="Calibri" w:hAnsi="Calibri" w:cs="Calibri"/>
          <w:b/>
          <w:bCs/>
        </w:rPr>
      </w:pPr>
      <w:r>
        <w:rPr>
          <w:rFonts w:ascii="Calibri" w:hAnsi="Calibri" w:cs="Calibri"/>
          <w:b/>
          <w:bCs/>
        </w:rPr>
        <w:t>7. Period of use and retention</w:t>
      </w:r>
    </w:p>
    <w:p w14:paraId="75D2D908" w14:textId="77777777" w:rsidR="00F20A67" w:rsidRPr="00F20A67" w:rsidRDefault="00F20A67" w:rsidP="00F33C33">
      <w:pPr>
        <w:jc w:val="both"/>
        <w:rPr>
          <w:rFonts w:ascii="Calibri" w:hAnsi="Calibri" w:cs="Calibri"/>
        </w:rPr>
      </w:pPr>
      <w:r>
        <w:rPr>
          <w:rFonts w:ascii="Calibri" w:hAnsi="Calibri" w:cs="Calibri"/>
        </w:rPr>
        <w:t>The duration varies according to the category, purpose and configuration of each technology. Session cookies are normally deleted at the end of the browsing session; persistent cookies remain until the expiry of the period set by the provider, deletion by the user or withdrawal of consent, where applicable.</w:t>
      </w:r>
    </w:p>
    <w:p w14:paraId="34DCF2D4" w14:textId="77777777" w:rsidR="00F20A67" w:rsidRPr="00F20A67" w:rsidRDefault="00F20A67" w:rsidP="00F33C33">
      <w:pPr>
        <w:jc w:val="both"/>
        <w:rPr>
          <w:rFonts w:ascii="Calibri" w:hAnsi="Calibri" w:cs="Calibri"/>
        </w:rPr>
      </w:pPr>
      <w:r>
        <w:rPr>
          <w:rFonts w:ascii="Calibri" w:hAnsi="Calibri" w:cs="Calibri"/>
        </w:rPr>
        <w:t>The periods applicable to each technology should be disclosed in the preference management mechanism. Minimal records of the user’s choice may be retained for the period necessary to demonstrate consent, respect refusal and comply with legal obligations or exercise rights.</w:t>
      </w:r>
    </w:p>
    <w:p w14:paraId="1B5C90A6" w14:textId="5AF42AB3" w:rsidR="00F20A67" w:rsidRPr="00F20A67" w:rsidRDefault="00F20A67" w:rsidP="00F33C33">
      <w:pPr>
        <w:jc w:val="both"/>
        <w:rPr>
          <w:rFonts w:ascii="Calibri" w:hAnsi="Calibri" w:cs="Calibri"/>
          <w:b/>
          <w:bCs/>
        </w:rPr>
      </w:pPr>
      <w:r>
        <w:rPr>
          <w:rFonts w:ascii="Calibri" w:hAnsi="Calibri" w:cs="Calibri"/>
          <w:b/>
          <w:bCs/>
        </w:rPr>
        <w:t>8. Sharing and international transfers</w:t>
      </w:r>
    </w:p>
    <w:p w14:paraId="4925FDC8" w14:textId="528D082A" w:rsidR="00F20A67" w:rsidRPr="00F20A67" w:rsidRDefault="00F20A67" w:rsidP="00F33C33">
      <w:pPr>
        <w:jc w:val="both"/>
        <w:rPr>
          <w:rFonts w:ascii="Calibri" w:hAnsi="Calibri" w:cs="Calibri"/>
        </w:rPr>
      </w:pPr>
      <w:r>
        <w:rPr>
          <w:rFonts w:ascii="Calibri" w:hAnsi="Calibri" w:cs="Calibri"/>
        </w:rPr>
        <w:t xml:space="preserve">Data related to cookies and similar technologies may be processed by </w:t>
      </w:r>
      <w:proofErr w:type="spellStart"/>
      <w:r>
        <w:rPr>
          <w:rFonts w:ascii="Calibri" w:hAnsi="Calibri" w:cs="Calibri"/>
        </w:rPr>
        <w:t>inVista</w:t>
      </w:r>
      <w:proofErr w:type="spellEnd"/>
      <w:r>
        <w:rPr>
          <w:rFonts w:ascii="Calibri" w:hAnsi="Calibri" w:cs="Calibri"/>
        </w:rPr>
        <w:t xml:space="preserve"> Group companies and by providers of hosting, CRM, marketing automation, report and information delivery, analytics, advertising, security and technology services, including HubSpot and </w:t>
      </w:r>
      <w:proofErr w:type="spellStart"/>
      <w:r>
        <w:rPr>
          <w:rFonts w:ascii="Calibri" w:hAnsi="Calibri" w:cs="Calibri"/>
        </w:rPr>
        <w:t>Webflow</w:t>
      </w:r>
      <w:proofErr w:type="spellEnd"/>
      <w:r>
        <w:rPr>
          <w:rFonts w:ascii="Calibri" w:hAnsi="Calibri" w:cs="Calibri"/>
        </w:rPr>
        <w:t xml:space="preserve">, depending on the functionalities </w:t>
      </w:r>
      <w:proofErr w:type="gramStart"/>
      <w:r>
        <w:rPr>
          <w:rFonts w:ascii="Calibri" w:hAnsi="Calibri" w:cs="Calibri"/>
        </w:rPr>
        <w:t>actually used</w:t>
      </w:r>
      <w:proofErr w:type="gramEnd"/>
      <w:r>
        <w:rPr>
          <w:rFonts w:ascii="Calibri" w:hAnsi="Calibri" w:cs="Calibri"/>
        </w:rPr>
        <w:t>.</w:t>
      </w:r>
    </w:p>
    <w:p w14:paraId="5185B474" w14:textId="77777777" w:rsidR="00F20A67" w:rsidRPr="00F20A67" w:rsidRDefault="00F20A67" w:rsidP="00F33C33">
      <w:pPr>
        <w:jc w:val="both"/>
        <w:rPr>
          <w:rFonts w:ascii="Calibri" w:hAnsi="Calibri" w:cs="Calibri"/>
        </w:rPr>
      </w:pPr>
      <w:r>
        <w:rPr>
          <w:rFonts w:ascii="Calibri" w:hAnsi="Calibri" w:cs="Calibri"/>
        </w:rPr>
        <w:t>Some providers may store or access data outside Brazil. These transfers are not automatically based on the consent given for cookies. They must comply with one of the cases or mechanisms provided for in Article 33 of the LGPD, such as an adequacy decision, standard contractual clauses or another legally permitted safeguard. Should a given transfer depend on consent, a specific and highlighted authorization will be requested.</w:t>
      </w:r>
    </w:p>
    <w:p w14:paraId="7CED3017" w14:textId="5D33D0E0" w:rsidR="00F20A67" w:rsidRPr="00F20A67" w:rsidRDefault="00F20A67" w:rsidP="00F33C33">
      <w:pPr>
        <w:jc w:val="both"/>
        <w:rPr>
          <w:rFonts w:ascii="Calibri" w:hAnsi="Calibri" w:cs="Calibri"/>
          <w:b/>
          <w:bCs/>
        </w:rPr>
      </w:pPr>
      <w:r>
        <w:rPr>
          <w:rFonts w:ascii="Calibri" w:hAnsi="Calibri" w:cs="Calibri"/>
          <w:b/>
          <w:bCs/>
        </w:rPr>
        <w:t>9. Rights and contact</w:t>
      </w:r>
      <w:r>
        <w:rPr>
          <w:rFonts w:ascii="Calibri" w:hAnsi="Calibri" w:cs="Calibri"/>
        </w:rPr>
        <w:tab/>
      </w:r>
    </w:p>
    <w:p w14:paraId="56E2429C" w14:textId="5A8B650C" w:rsidR="002B2CFB" w:rsidRDefault="00F20A67" w:rsidP="00F33C33">
      <w:pPr>
        <w:jc w:val="both"/>
        <w:rPr>
          <w:rFonts w:ascii="Calibri" w:hAnsi="Calibri" w:cs="Calibri"/>
          <w:b/>
        </w:rPr>
      </w:pPr>
      <w:r>
        <w:rPr>
          <w:rFonts w:ascii="Calibri" w:hAnsi="Calibri" w:cs="Calibri"/>
        </w:rPr>
        <w:t xml:space="preserve">The data subject may exercise the rights provided for in the LGPD, including requesting confirmation and access, correction, information on sharing, deletion of data processed with consent and withdrawal of consent. Requests may be sent to Gustavo Neves Pontes at </w:t>
      </w:r>
      <w:hyperlink r:id="rId8" w:history="1">
        <w:r w:rsidR="002B2CFB" w:rsidRPr="00C95D08">
          <w:rPr>
            <w:rStyle w:val="Hyperlink"/>
            <w:rFonts w:ascii="Calibri" w:hAnsi="Calibri" w:cs="Calibri"/>
            <w:b/>
          </w:rPr>
          <w:t>ri@invista.me</w:t>
        </w:r>
      </w:hyperlink>
      <w:r w:rsidR="002B2CFB" w:rsidRPr="002B2CFB">
        <w:rPr>
          <w:rFonts w:ascii="Calibri" w:hAnsi="Calibri" w:cs="Calibri"/>
          <w:bCs/>
        </w:rPr>
        <w:t>.</w:t>
      </w:r>
    </w:p>
    <w:p w14:paraId="2FECAA06" w14:textId="77777777" w:rsidR="00F20A67" w:rsidRPr="00F20A67" w:rsidRDefault="00F20A67" w:rsidP="00F33C33">
      <w:pPr>
        <w:jc w:val="both"/>
        <w:rPr>
          <w:rFonts w:ascii="Calibri" w:hAnsi="Calibri" w:cs="Calibri"/>
        </w:rPr>
      </w:pPr>
      <w:r>
        <w:rPr>
          <w:rFonts w:ascii="Calibri" w:hAnsi="Calibri" w:cs="Calibri"/>
        </w:rPr>
        <w:t xml:space="preserve">To learn about the other processing activities carried out by the </w:t>
      </w:r>
      <w:proofErr w:type="spellStart"/>
      <w:r>
        <w:rPr>
          <w:rFonts w:ascii="Calibri" w:hAnsi="Calibri" w:cs="Calibri"/>
        </w:rPr>
        <w:t>inVista</w:t>
      </w:r>
      <w:proofErr w:type="spellEnd"/>
      <w:r>
        <w:rPr>
          <w:rFonts w:ascii="Calibri" w:hAnsi="Calibri" w:cs="Calibri"/>
        </w:rPr>
        <w:t xml:space="preserve"> Group, the applicable legal bases, the security measures and the conditions for exercising rights, please refer to the General Privacy Notice.</w:t>
      </w:r>
    </w:p>
    <w:p w14:paraId="254365D9" w14:textId="59CAD681" w:rsidR="00F20A67" w:rsidRPr="00F20A67" w:rsidRDefault="00F20A67" w:rsidP="00F33C33">
      <w:pPr>
        <w:jc w:val="both"/>
        <w:rPr>
          <w:rFonts w:ascii="Calibri" w:hAnsi="Calibri" w:cs="Calibri"/>
          <w:b/>
          <w:bCs/>
        </w:rPr>
      </w:pPr>
      <w:r>
        <w:rPr>
          <w:rFonts w:ascii="Calibri" w:hAnsi="Calibri" w:cs="Calibri"/>
          <w:b/>
          <w:bCs/>
        </w:rPr>
        <w:t>10. Updates to this Policy</w:t>
      </w:r>
    </w:p>
    <w:p w14:paraId="25A6FC1E" w14:textId="77777777" w:rsidR="00F20A67" w:rsidRPr="00F20A67" w:rsidRDefault="00F20A67" w:rsidP="00F33C33">
      <w:pPr>
        <w:jc w:val="both"/>
        <w:rPr>
          <w:rFonts w:ascii="Calibri" w:hAnsi="Calibri" w:cs="Calibri"/>
        </w:rPr>
      </w:pPr>
      <w:r>
        <w:rPr>
          <w:rFonts w:ascii="Calibri" w:hAnsi="Calibri" w:cs="Calibri"/>
        </w:rPr>
        <w:t>This Policy may be updated to reflect legal, regulatory, technological or operational changes. The current version and the date of the last update will be made available on the website. Material changes affecting consent-based choices will be communicated appropriately.</w:t>
      </w:r>
    </w:p>
    <w:p w14:paraId="59456043" w14:textId="7CD021A0" w:rsidR="00F20A67" w:rsidRDefault="00F20A67" w:rsidP="00F20A67">
      <w:pPr>
        <w:tabs>
          <w:tab w:val="left" w:pos="4320"/>
        </w:tabs>
      </w:pPr>
      <w:r>
        <w:tab/>
      </w:r>
    </w:p>
    <w:sectPr w:rsidR="00F20A67" w:rsidSect="00F20A67">
      <w:footerReference w:type="default" r:id="rId9"/>
      <w:pgSz w:w="12240" w:h="15840"/>
      <w:pgMar w:top="792" w:right="1152" w:bottom="749"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5B112" w14:textId="77777777" w:rsidR="00476F93" w:rsidRDefault="00476F93" w:rsidP="00F20A67">
      <w:pPr>
        <w:spacing w:after="0" w:line="240" w:lineRule="auto"/>
      </w:pPr>
      <w:r>
        <w:separator/>
      </w:r>
    </w:p>
  </w:endnote>
  <w:endnote w:type="continuationSeparator" w:id="0">
    <w:p w14:paraId="47CB6098" w14:textId="77777777" w:rsidR="00476F93" w:rsidRDefault="00476F93" w:rsidP="00F20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E175" w14:textId="5AE5EEAE" w:rsidR="00F20A67" w:rsidRPr="00427E41" w:rsidRDefault="00F20A67">
    <w:pPr>
      <w:pStyle w:val="Rodap"/>
      <w:spacing w:before="80"/>
      <w:jc w:val="center"/>
    </w:pPr>
    <w:proofErr w:type="spellStart"/>
    <w:r w:rsidRPr="00427E41">
      <w:rPr>
        <w:rFonts w:ascii="Aptos" w:hAnsi="Aptos"/>
        <w:color w:val="5A6570"/>
        <w:sz w:val="16"/>
      </w:rPr>
      <w:t>inVista</w:t>
    </w:r>
    <w:proofErr w:type="spellEnd"/>
    <w:r w:rsidRPr="00427E41">
      <w:rPr>
        <w:rFonts w:ascii="Aptos" w:hAnsi="Aptos"/>
        <w:color w:val="5A6570"/>
        <w:sz w:val="16"/>
      </w:rPr>
      <w:t xml:space="preserve"> </w:t>
    </w:r>
    <w:proofErr w:type="gramStart"/>
    <w:r w:rsidRPr="00427E41">
      <w:rPr>
        <w:rFonts w:ascii="Aptos" w:hAnsi="Aptos"/>
        <w:color w:val="5A6570"/>
        <w:sz w:val="16"/>
      </w:rPr>
      <w:t>Group  |</w:t>
    </w:r>
    <w:proofErr w:type="gramEnd"/>
    <w:r w:rsidRPr="00427E41">
      <w:rPr>
        <w:rFonts w:ascii="Aptos" w:hAnsi="Aptos"/>
        <w:color w:val="5A6570"/>
        <w:sz w:val="16"/>
      </w:rPr>
      <w:t xml:space="preserve">  Cookie </w:t>
    </w:r>
    <w:proofErr w:type="gramStart"/>
    <w:r w:rsidRPr="00427E41">
      <w:rPr>
        <w:rFonts w:ascii="Aptos" w:hAnsi="Aptos"/>
        <w:color w:val="5A6570"/>
        <w:sz w:val="16"/>
      </w:rPr>
      <w:t>Policy  |</w:t>
    </w:r>
    <w:proofErr w:type="gramEnd"/>
    <w:r w:rsidRPr="00427E41">
      <w:rPr>
        <w:rFonts w:ascii="Aptos" w:hAnsi="Aptos"/>
        <w:color w:val="5A6570"/>
        <w:sz w:val="16"/>
      </w:rPr>
      <w:t xml:space="preserve">  Version 1.0</w:t>
    </w:r>
    <w:r>
      <w:rPr>
        <w:rFonts w:ascii="Aptos" w:hAnsi="Aptos"/>
        <w:color w:val="5A6570"/>
        <w:sz w:val="16"/>
      </w:rPr>
      <w:t xml:space="preserve"> </w:t>
    </w:r>
    <w:proofErr w:type="gramStart"/>
    <w:r w:rsidRPr="00F20A67">
      <w:rPr>
        <w:rFonts w:ascii="Aptos" w:hAnsi="Aptos"/>
        <w:color w:val="5A6570"/>
        <w:sz w:val="16"/>
      </w:rPr>
      <w:t xml:space="preserve">|  </w:t>
    </w:r>
    <w:r w:rsidR="002B2CFB">
      <w:rPr>
        <w:rFonts w:ascii="Aptos" w:hAnsi="Aptos"/>
        <w:color w:val="5A6570"/>
        <w:sz w:val="16"/>
      </w:rPr>
      <w:t>October</w:t>
    </w:r>
    <w:proofErr w:type="gramEnd"/>
    <w:r w:rsidR="002B2CFB">
      <w:rPr>
        <w:rFonts w:ascii="Aptos" w:hAnsi="Aptos"/>
        <w:color w:val="5A6570"/>
        <w:sz w:val="16"/>
      </w:rPr>
      <w:t xml:space="preserve"> </w:t>
    </w:r>
    <w:r>
      <w:rPr>
        <w:rFonts w:ascii="Aptos" w:hAnsi="Aptos"/>
        <w:color w:val="5A6570"/>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1C2E2" w14:textId="77777777" w:rsidR="00476F93" w:rsidRDefault="00476F93" w:rsidP="00F20A67">
      <w:pPr>
        <w:spacing w:after="0" w:line="240" w:lineRule="auto"/>
      </w:pPr>
      <w:r>
        <w:separator/>
      </w:r>
    </w:p>
  </w:footnote>
  <w:footnote w:type="continuationSeparator" w:id="0">
    <w:p w14:paraId="02F5ECDA" w14:textId="77777777" w:rsidR="00476F93" w:rsidRDefault="00476F93" w:rsidP="00F20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994"/>
    <w:multiLevelType w:val="hybridMultilevel"/>
    <w:tmpl w:val="EC26F8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242659"/>
    <w:multiLevelType w:val="hybridMultilevel"/>
    <w:tmpl w:val="D90C53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070423551">
    <w:abstractNumId w:val="1"/>
  </w:num>
  <w:num w:numId="2" w16cid:durableId="277151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9"/>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67"/>
    <w:rsid w:val="001E2E86"/>
    <w:rsid w:val="00200B79"/>
    <w:rsid w:val="0021498A"/>
    <w:rsid w:val="002B2CFB"/>
    <w:rsid w:val="003D6160"/>
    <w:rsid w:val="00476F93"/>
    <w:rsid w:val="004E0E27"/>
    <w:rsid w:val="00610F9B"/>
    <w:rsid w:val="006D0736"/>
    <w:rsid w:val="0075100B"/>
    <w:rsid w:val="00A0407B"/>
    <w:rsid w:val="00A15E00"/>
    <w:rsid w:val="00B43DA9"/>
    <w:rsid w:val="00B86751"/>
    <w:rsid w:val="00BD544A"/>
    <w:rsid w:val="00BF3E77"/>
    <w:rsid w:val="00CA180B"/>
    <w:rsid w:val="00D020B0"/>
    <w:rsid w:val="00E04BE1"/>
    <w:rsid w:val="00E866DA"/>
    <w:rsid w:val="00EA2311"/>
    <w:rsid w:val="00F20A67"/>
    <w:rsid w:val="00F33C33"/>
    <w:rsid w:val="00F9587E"/>
    <w:rsid w:val="00FE5DE4"/>
    <w:rsid w:val="23BA0598"/>
    <w:rsid w:val="53598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0904"/>
  <w15:chartTrackingRefBased/>
  <w15:docId w15:val="{DCDF96D3-7D83-4CFD-A40E-229F9653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20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20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20A6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20A6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20A6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20A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20A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20A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20A6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20A6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20A6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20A6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20A6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20A6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20A6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20A6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20A6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20A67"/>
    <w:rPr>
      <w:rFonts w:eastAsiaTheme="majorEastAsia" w:cstheme="majorBidi"/>
      <w:color w:val="272727" w:themeColor="text1" w:themeTint="D8"/>
    </w:rPr>
  </w:style>
  <w:style w:type="paragraph" w:styleId="Ttulo">
    <w:name w:val="Title"/>
    <w:basedOn w:val="Normal"/>
    <w:next w:val="Normal"/>
    <w:link w:val="TtuloChar"/>
    <w:uiPriority w:val="10"/>
    <w:qFormat/>
    <w:rsid w:val="00F20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20A6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20A6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20A6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20A67"/>
    <w:pPr>
      <w:spacing w:before="160"/>
      <w:jc w:val="center"/>
    </w:pPr>
    <w:rPr>
      <w:i/>
      <w:iCs/>
      <w:color w:val="404040" w:themeColor="text1" w:themeTint="BF"/>
    </w:rPr>
  </w:style>
  <w:style w:type="character" w:customStyle="1" w:styleId="CitaoChar">
    <w:name w:val="Citação Char"/>
    <w:basedOn w:val="Fontepargpadro"/>
    <w:link w:val="Citao"/>
    <w:uiPriority w:val="29"/>
    <w:rsid w:val="00F20A67"/>
    <w:rPr>
      <w:i/>
      <w:iCs/>
      <w:color w:val="404040" w:themeColor="text1" w:themeTint="BF"/>
    </w:rPr>
  </w:style>
  <w:style w:type="paragraph" w:styleId="PargrafodaLista">
    <w:name w:val="List Paragraph"/>
    <w:basedOn w:val="Normal"/>
    <w:uiPriority w:val="34"/>
    <w:qFormat/>
    <w:rsid w:val="00F20A67"/>
    <w:pPr>
      <w:ind w:left="720"/>
      <w:contextualSpacing/>
    </w:pPr>
  </w:style>
  <w:style w:type="character" w:styleId="nfaseIntensa">
    <w:name w:val="Intense Emphasis"/>
    <w:basedOn w:val="Fontepargpadro"/>
    <w:uiPriority w:val="21"/>
    <w:qFormat/>
    <w:rsid w:val="00F20A67"/>
    <w:rPr>
      <w:i/>
      <w:iCs/>
      <w:color w:val="0F4761" w:themeColor="accent1" w:themeShade="BF"/>
    </w:rPr>
  </w:style>
  <w:style w:type="paragraph" w:styleId="CitaoIntensa">
    <w:name w:val="Intense Quote"/>
    <w:basedOn w:val="Normal"/>
    <w:next w:val="Normal"/>
    <w:link w:val="CitaoIntensaChar"/>
    <w:uiPriority w:val="30"/>
    <w:qFormat/>
    <w:rsid w:val="00F20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20A67"/>
    <w:rPr>
      <w:i/>
      <w:iCs/>
      <w:color w:val="0F4761" w:themeColor="accent1" w:themeShade="BF"/>
    </w:rPr>
  </w:style>
  <w:style w:type="character" w:styleId="RefernciaIntensa">
    <w:name w:val="Intense Reference"/>
    <w:basedOn w:val="Fontepargpadro"/>
    <w:uiPriority w:val="32"/>
    <w:qFormat/>
    <w:rsid w:val="00F20A67"/>
    <w:rPr>
      <w:b/>
      <w:bCs/>
      <w:smallCaps/>
      <w:color w:val="0F4761" w:themeColor="accent1" w:themeShade="BF"/>
      <w:spacing w:val="5"/>
    </w:rPr>
  </w:style>
  <w:style w:type="paragraph" w:styleId="Rodap">
    <w:name w:val="footer"/>
    <w:basedOn w:val="Normal"/>
    <w:link w:val="RodapChar"/>
    <w:uiPriority w:val="99"/>
    <w:unhideWhenUsed/>
    <w:rsid w:val="00F20A67"/>
    <w:pPr>
      <w:tabs>
        <w:tab w:val="center" w:pos="4513"/>
        <w:tab w:val="right" w:pos="9026"/>
      </w:tabs>
      <w:spacing w:after="0" w:line="240" w:lineRule="auto"/>
    </w:pPr>
  </w:style>
  <w:style w:type="character" w:customStyle="1" w:styleId="RodapChar">
    <w:name w:val="Rodapé Char"/>
    <w:basedOn w:val="Fontepargpadro"/>
    <w:link w:val="Rodap"/>
    <w:uiPriority w:val="99"/>
    <w:rsid w:val="00F20A67"/>
  </w:style>
  <w:style w:type="character" w:styleId="Refdecomentrio">
    <w:name w:val="annotation reference"/>
    <w:basedOn w:val="Fontepargpadro"/>
    <w:uiPriority w:val="99"/>
    <w:semiHidden/>
    <w:unhideWhenUsed/>
    <w:rsid w:val="00F20A67"/>
    <w:rPr>
      <w:sz w:val="16"/>
      <w:szCs w:val="16"/>
    </w:rPr>
  </w:style>
  <w:style w:type="paragraph" w:styleId="Textodecomentrio">
    <w:name w:val="annotation text"/>
    <w:basedOn w:val="Normal"/>
    <w:link w:val="TextodecomentrioChar"/>
    <w:uiPriority w:val="99"/>
    <w:unhideWhenUsed/>
    <w:rsid w:val="00F20A67"/>
    <w:pPr>
      <w:spacing w:line="240" w:lineRule="auto"/>
    </w:pPr>
    <w:rPr>
      <w:sz w:val="20"/>
      <w:szCs w:val="20"/>
    </w:rPr>
  </w:style>
  <w:style w:type="character" w:customStyle="1" w:styleId="TextodecomentrioChar">
    <w:name w:val="Texto de comentário Char"/>
    <w:basedOn w:val="Fontepargpadro"/>
    <w:link w:val="Textodecomentrio"/>
    <w:uiPriority w:val="99"/>
    <w:rsid w:val="00F20A67"/>
    <w:rPr>
      <w:sz w:val="20"/>
      <w:szCs w:val="20"/>
    </w:rPr>
  </w:style>
  <w:style w:type="paragraph" w:styleId="Assuntodocomentrio">
    <w:name w:val="annotation subject"/>
    <w:basedOn w:val="Textodecomentrio"/>
    <w:next w:val="Textodecomentrio"/>
    <w:link w:val="AssuntodocomentrioChar"/>
    <w:uiPriority w:val="99"/>
    <w:semiHidden/>
    <w:unhideWhenUsed/>
    <w:rsid w:val="00F20A67"/>
    <w:rPr>
      <w:b/>
      <w:bCs/>
    </w:rPr>
  </w:style>
  <w:style w:type="character" w:customStyle="1" w:styleId="AssuntodocomentrioChar">
    <w:name w:val="Assunto do comentário Char"/>
    <w:basedOn w:val="TextodecomentrioChar"/>
    <w:link w:val="Assuntodocomentrio"/>
    <w:uiPriority w:val="99"/>
    <w:semiHidden/>
    <w:rsid w:val="00F20A67"/>
    <w:rPr>
      <w:b/>
      <w:bCs/>
      <w:sz w:val="20"/>
      <w:szCs w:val="20"/>
    </w:rPr>
  </w:style>
  <w:style w:type="paragraph" w:styleId="Cabealho">
    <w:name w:val="header"/>
    <w:basedOn w:val="Normal"/>
    <w:link w:val="CabealhoChar"/>
    <w:uiPriority w:val="99"/>
    <w:unhideWhenUsed/>
    <w:rsid w:val="00F20A67"/>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F20A67"/>
  </w:style>
  <w:style w:type="paragraph" w:styleId="Reviso">
    <w:name w:val="Revision"/>
    <w:hidden/>
    <w:uiPriority w:val="99"/>
    <w:semiHidden/>
    <w:rsid w:val="0075100B"/>
    <w:pPr>
      <w:spacing w:after="0" w:line="240" w:lineRule="auto"/>
    </w:pPr>
  </w:style>
  <w:style w:type="character" w:styleId="Hyperlink">
    <w:name w:val="Hyperlink"/>
    <w:basedOn w:val="Fontepargpadro"/>
    <w:uiPriority w:val="99"/>
    <w:unhideWhenUsed/>
    <w:rsid w:val="00A15E00"/>
    <w:rPr>
      <w:color w:val="467886" w:themeColor="hyperlink"/>
      <w:u w:val="single"/>
    </w:rPr>
  </w:style>
  <w:style w:type="character" w:styleId="MenoPendente">
    <w:name w:val="Unresolved Mention"/>
    <w:basedOn w:val="Fontepargpadro"/>
    <w:uiPriority w:val="99"/>
    <w:semiHidden/>
    <w:unhideWhenUsed/>
    <w:rsid w:val="00A15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invista.me" TargetMode="External"/><Relationship Id="rId3" Type="http://schemas.openxmlformats.org/officeDocument/2006/relationships/settings" Target="settings.xml"/><Relationship Id="rId7" Type="http://schemas.openxmlformats.org/officeDocument/2006/relationships/hyperlink" Target="mailto:ri@invista.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1017</Words>
  <Characters>5492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RMWC PartG</dc:creator>
  <cp:keywords/>
  <dc:description/>
  <cp:lastModifiedBy>Cristiane Manzueto</cp:lastModifiedBy>
  <cp:revision>2</cp:revision>
  <dcterms:created xsi:type="dcterms:W3CDTF">2026-10-18T22:31:00Z</dcterms:created>
  <dcterms:modified xsi:type="dcterms:W3CDTF">2026-10-18T22:31:00Z</dcterms:modified>
</cp:coreProperties>
</file>